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default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eastAsia="仿宋_GB2312"/>
          <w:b/>
          <w:bCs/>
          <w:sz w:val="32"/>
          <w:szCs w:val="32"/>
        </w:rPr>
        <w:t>附件</w:t>
      </w:r>
      <w:r>
        <w:rPr>
          <w:rFonts w:hint="eastAsia" w:eastAsia="仿宋_GB2312"/>
          <w:b/>
          <w:bCs/>
          <w:sz w:val="32"/>
          <w:szCs w:val="32"/>
          <w:lang w:val="en-US" w:eastAsia="zh-CN"/>
        </w:rPr>
        <w:t>1</w:t>
      </w:r>
    </w:p>
    <w:p>
      <w:pPr>
        <w:spacing w:line="560" w:lineRule="exact"/>
        <w:jc w:val="center"/>
        <w:rPr>
          <w:rFonts w:hint="eastAsia" w:ascii="方正小标宋简体" w:hAnsi="宋体" w:eastAsia="方正小标宋简体" w:cs="宋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宋体" w:eastAsia="方正小标宋简体" w:cs="宋体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宋体" w:eastAsia="方正小标宋简体" w:cs="宋体"/>
          <w:sz w:val="44"/>
          <w:szCs w:val="44"/>
        </w:rPr>
        <w:t>比选</w:t>
      </w:r>
      <w:r>
        <w:rPr>
          <w:rFonts w:hint="eastAsia" w:ascii="方正小标宋简体" w:hAnsi="宋体" w:eastAsia="方正小标宋简体" w:cs="宋体"/>
          <w:sz w:val="44"/>
          <w:szCs w:val="44"/>
          <w:lang w:eastAsia="zh-CN"/>
        </w:rPr>
        <w:t>评分标准</w:t>
      </w:r>
    </w:p>
    <w:bookmarkEnd w:id="0"/>
    <w:p>
      <w:pPr>
        <w:spacing w:line="56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</w:p>
    <w:p>
      <w:pPr>
        <w:spacing w:line="560" w:lineRule="exact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综合评分中各评估因素所占比重</w:t>
      </w:r>
    </w:p>
    <w:tbl>
      <w:tblPr>
        <w:tblStyle w:val="3"/>
        <w:tblW w:w="88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7"/>
        <w:gridCol w:w="1766"/>
        <w:gridCol w:w="1767"/>
        <w:gridCol w:w="2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eastAsia="黑体"/>
                <w:bCs/>
                <w:kern w:val="0"/>
                <w:sz w:val="32"/>
                <w:szCs w:val="32"/>
              </w:rPr>
            </w:pPr>
            <w:r>
              <w:rPr>
                <w:rFonts w:hAnsi="黑体" w:eastAsia="黑体"/>
                <w:bCs/>
                <w:kern w:val="0"/>
                <w:sz w:val="32"/>
                <w:szCs w:val="32"/>
              </w:rPr>
              <w:t>评估因素</w:t>
            </w: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bCs/>
                <w:kern w:val="0"/>
                <w:sz w:val="32"/>
                <w:szCs w:val="32"/>
              </w:rPr>
            </w:pPr>
            <w:r>
              <w:rPr>
                <w:rFonts w:hint="eastAsia" w:hAnsi="黑体" w:eastAsia="黑体"/>
                <w:bCs/>
                <w:kern w:val="0"/>
                <w:sz w:val="32"/>
                <w:szCs w:val="32"/>
              </w:rPr>
              <w:t>质量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bCs/>
                <w:kern w:val="0"/>
                <w:sz w:val="32"/>
                <w:szCs w:val="32"/>
              </w:rPr>
            </w:pPr>
            <w:r>
              <w:rPr>
                <w:rFonts w:hAnsi="黑体" w:eastAsia="黑体"/>
                <w:bCs/>
                <w:kern w:val="0"/>
                <w:sz w:val="32"/>
                <w:szCs w:val="32"/>
              </w:rPr>
              <w:t>商务</w:t>
            </w:r>
          </w:p>
        </w:tc>
        <w:tc>
          <w:tcPr>
            <w:tcW w:w="2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bCs/>
                <w:kern w:val="0"/>
                <w:sz w:val="32"/>
                <w:szCs w:val="32"/>
              </w:rPr>
            </w:pPr>
            <w:r>
              <w:rPr>
                <w:rFonts w:hAnsi="黑体" w:eastAsia="黑体"/>
                <w:bCs/>
                <w:kern w:val="0"/>
                <w:sz w:val="32"/>
                <w:szCs w:val="32"/>
              </w:rPr>
              <w:t>价格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3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bCs/>
                <w:kern w:val="0"/>
                <w:sz w:val="32"/>
                <w:szCs w:val="32"/>
              </w:rPr>
            </w:pPr>
            <w:r>
              <w:rPr>
                <w:rFonts w:hAnsi="黑体" w:eastAsia="黑体"/>
                <w:bCs/>
                <w:kern w:val="0"/>
                <w:sz w:val="32"/>
                <w:szCs w:val="32"/>
              </w:rPr>
              <w:t>比重</w:t>
            </w: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bCs/>
                <w:kern w:val="0"/>
                <w:sz w:val="32"/>
                <w:szCs w:val="32"/>
              </w:rPr>
              <w:t>40</w:t>
            </w:r>
            <w:r>
              <w:rPr>
                <w:rFonts w:hAnsi="宋体"/>
                <w:bCs/>
                <w:kern w:val="0"/>
                <w:sz w:val="32"/>
                <w:szCs w:val="32"/>
              </w:rPr>
              <w:t>﹪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bCs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eastAsia="仿宋_GB2312"/>
                <w:bCs/>
                <w:kern w:val="0"/>
                <w:sz w:val="32"/>
                <w:szCs w:val="32"/>
              </w:rPr>
              <w:t>0</w:t>
            </w:r>
            <w:r>
              <w:rPr>
                <w:rFonts w:hAnsi="宋体"/>
                <w:bCs/>
                <w:kern w:val="0"/>
                <w:sz w:val="32"/>
                <w:szCs w:val="32"/>
              </w:rPr>
              <w:t>﹪</w:t>
            </w:r>
          </w:p>
        </w:tc>
        <w:tc>
          <w:tcPr>
            <w:tcW w:w="2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bCs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eastAsia="仿宋_GB2312"/>
                <w:bCs/>
                <w:kern w:val="0"/>
                <w:sz w:val="32"/>
                <w:szCs w:val="32"/>
              </w:rPr>
              <w:t>0</w:t>
            </w:r>
            <w:r>
              <w:rPr>
                <w:rFonts w:hAnsi="宋体"/>
                <w:bCs/>
                <w:kern w:val="0"/>
                <w:sz w:val="32"/>
                <w:szCs w:val="32"/>
              </w:rPr>
              <w:t>﹪</w:t>
            </w:r>
          </w:p>
        </w:tc>
      </w:tr>
    </w:tbl>
    <w:p>
      <w:pPr>
        <w:spacing w:line="560" w:lineRule="exact"/>
        <w:rPr>
          <w:rFonts w:eastAsia="仿宋_GB2312"/>
          <w:sz w:val="32"/>
          <w:szCs w:val="32"/>
        </w:rPr>
      </w:pPr>
    </w:p>
    <w:p>
      <w:pPr>
        <w:pStyle w:val="2"/>
      </w:pP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eastAsia="楷体_GB2312"/>
          <w:sz w:val="32"/>
          <w:szCs w:val="32"/>
        </w:rPr>
      </w:pPr>
      <w:r>
        <w:rPr>
          <w:rFonts w:hint="eastAsia" w:eastAsia="楷体_GB2312"/>
          <w:sz w:val="32"/>
          <w:szCs w:val="32"/>
        </w:rPr>
        <w:t>商品质量评分（满分100分）</w:t>
      </w:r>
    </w:p>
    <w:tbl>
      <w:tblPr>
        <w:tblStyle w:val="3"/>
        <w:tblW w:w="93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1945"/>
        <w:gridCol w:w="5580"/>
        <w:gridCol w:w="1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left="-105" w:leftChars="-50" w:right="-105" w:rightChars="-50"/>
              <w:jc w:val="center"/>
              <w:rPr>
                <w:rFonts w:eastAsia="黑体"/>
                <w:bCs/>
                <w:kern w:val="0"/>
                <w:sz w:val="32"/>
                <w:szCs w:val="32"/>
              </w:rPr>
            </w:pPr>
            <w:r>
              <w:rPr>
                <w:rFonts w:hAnsi="黑体" w:eastAsia="黑体"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left="-105" w:leftChars="-50" w:right="-105" w:rightChars="-50"/>
              <w:jc w:val="center"/>
              <w:rPr>
                <w:rFonts w:eastAsia="黑体"/>
                <w:bCs/>
                <w:kern w:val="0"/>
                <w:sz w:val="32"/>
                <w:szCs w:val="32"/>
              </w:rPr>
            </w:pPr>
            <w:r>
              <w:rPr>
                <w:rFonts w:hAnsi="黑体" w:eastAsia="黑体"/>
                <w:bCs/>
                <w:kern w:val="0"/>
                <w:sz w:val="32"/>
                <w:szCs w:val="32"/>
              </w:rPr>
              <w:t>评审因素</w:t>
            </w:r>
          </w:p>
        </w:tc>
        <w:tc>
          <w:tcPr>
            <w:tcW w:w="5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left="-105" w:leftChars="-50" w:right="-105" w:rightChars="-50"/>
              <w:jc w:val="center"/>
              <w:rPr>
                <w:rFonts w:eastAsia="黑体"/>
                <w:bCs/>
                <w:kern w:val="0"/>
                <w:sz w:val="32"/>
                <w:szCs w:val="32"/>
              </w:rPr>
            </w:pPr>
            <w:r>
              <w:rPr>
                <w:rFonts w:hAnsi="黑体" w:eastAsia="黑体"/>
                <w:bCs/>
                <w:kern w:val="0"/>
                <w:sz w:val="32"/>
                <w:szCs w:val="32"/>
              </w:rPr>
              <w:t>评分标准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left="-105" w:leftChars="-50" w:right="-105" w:rightChars="-50"/>
              <w:jc w:val="center"/>
              <w:rPr>
                <w:rFonts w:eastAsia="黑体"/>
                <w:bCs/>
                <w:kern w:val="0"/>
                <w:sz w:val="32"/>
                <w:szCs w:val="32"/>
              </w:rPr>
            </w:pPr>
            <w:r>
              <w:rPr>
                <w:rFonts w:hAnsi="黑体" w:eastAsia="黑体"/>
                <w:bCs/>
                <w:kern w:val="0"/>
                <w:sz w:val="32"/>
                <w:szCs w:val="32"/>
              </w:rPr>
              <w:t>权重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1</w:t>
            </w: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物资情况</w:t>
            </w:r>
          </w:p>
        </w:tc>
        <w:tc>
          <w:tcPr>
            <w:tcW w:w="5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考查、对比</w:t>
            </w:r>
            <w:r>
              <w:rPr>
                <w:rFonts w:hint="eastAsia" w:eastAsia="仿宋_GB2312"/>
                <w:kern w:val="0"/>
                <w:sz w:val="32"/>
                <w:szCs w:val="32"/>
              </w:rPr>
              <w:t>各采购比选</w:t>
            </w:r>
            <w:r>
              <w:rPr>
                <w:rFonts w:eastAsia="仿宋_GB2312"/>
                <w:kern w:val="0"/>
                <w:sz w:val="32"/>
                <w:szCs w:val="32"/>
              </w:rPr>
              <w:t>方案</w:t>
            </w:r>
            <w:r>
              <w:rPr>
                <w:rFonts w:hint="eastAsia" w:eastAsia="仿宋_GB2312"/>
                <w:kern w:val="0"/>
                <w:sz w:val="32"/>
                <w:szCs w:val="32"/>
              </w:rPr>
              <w:t>中</w:t>
            </w:r>
            <w:r>
              <w:rPr>
                <w:rFonts w:hint="eastAsia" w:ascii="仿宋_GB2312" w:hAnsi="黑体" w:eastAsia="仿宋_GB2312"/>
                <w:sz w:val="32"/>
                <w:szCs w:val="32"/>
              </w:rPr>
              <w:t>所提供</w:t>
            </w:r>
            <w:r>
              <w:rPr>
                <w:rFonts w:hint="eastAsia" w:ascii="仿宋_GB2312" w:eastAsia="仿宋_GB2312"/>
                <w:bCs/>
                <w:sz w:val="32"/>
                <w:szCs w:val="32"/>
              </w:rPr>
              <w:t>的米、油</w:t>
            </w:r>
            <w:r>
              <w:rPr>
                <w:rFonts w:hint="eastAsia" w:ascii="仿宋_GB2312" w:eastAsia="仿宋_GB2312"/>
                <w:bCs/>
                <w:sz w:val="32"/>
                <w:szCs w:val="32"/>
                <w:lang w:eastAsia="zh-CN"/>
              </w:rPr>
              <w:t>、</w:t>
            </w:r>
            <w:r>
              <w:rPr>
                <w:rFonts w:hint="eastAsia" w:eastAsia="仿宋_GB2312" w:cs="Times New Roman"/>
                <w:sz w:val="32"/>
                <w:szCs w:val="32"/>
                <w:lang w:val="en-US" w:eastAsia="zh-CN"/>
              </w:rPr>
              <w:t>其他干货（如干果、香菇）</w:t>
            </w:r>
            <w:r>
              <w:rPr>
                <w:rFonts w:hint="eastAsia" w:ascii="仿宋_GB2312" w:eastAsia="仿宋_GB2312"/>
                <w:bCs/>
                <w:sz w:val="32"/>
                <w:szCs w:val="32"/>
              </w:rPr>
              <w:t>等生活物资参考，是否满足比选需求。</w:t>
            </w:r>
            <w:r>
              <w:rPr>
                <w:rFonts w:eastAsia="仿宋_GB2312"/>
                <w:kern w:val="0"/>
                <w:sz w:val="32"/>
                <w:szCs w:val="32"/>
              </w:rPr>
              <w:t>优：</w:t>
            </w:r>
            <w:r>
              <w:rPr>
                <w:rFonts w:hint="eastAsia" w:eastAsia="仿宋_GB2312"/>
                <w:kern w:val="0"/>
                <w:sz w:val="32"/>
                <w:szCs w:val="32"/>
                <w:lang w:val="en-US" w:eastAsia="zh-CN"/>
              </w:rPr>
              <w:t>56</w:t>
            </w:r>
            <w:r>
              <w:rPr>
                <w:rFonts w:eastAsia="仿宋_GB2312"/>
                <w:kern w:val="0"/>
                <w:sz w:val="32"/>
                <w:szCs w:val="32"/>
              </w:rPr>
              <w:t>-</w:t>
            </w:r>
            <w:r>
              <w:rPr>
                <w:rFonts w:hint="eastAsia" w:eastAsia="仿宋_GB2312"/>
                <w:kern w:val="0"/>
                <w:sz w:val="32"/>
                <w:szCs w:val="32"/>
                <w:lang w:val="en-US" w:eastAsia="zh-CN"/>
              </w:rPr>
              <w:t>70</w:t>
            </w:r>
            <w:r>
              <w:rPr>
                <w:rFonts w:eastAsia="仿宋_GB2312"/>
                <w:kern w:val="0"/>
                <w:sz w:val="32"/>
                <w:szCs w:val="32"/>
              </w:rPr>
              <w:t>分，良：</w:t>
            </w:r>
            <w:r>
              <w:rPr>
                <w:rFonts w:hint="eastAsia" w:eastAsia="仿宋_GB2312"/>
                <w:kern w:val="0"/>
                <w:sz w:val="32"/>
                <w:szCs w:val="32"/>
                <w:lang w:val="en-US" w:eastAsia="zh-CN"/>
              </w:rPr>
              <w:t>40</w:t>
            </w:r>
            <w:r>
              <w:rPr>
                <w:rFonts w:eastAsia="仿宋_GB2312"/>
                <w:kern w:val="0"/>
                <w:sz w:val="32"/>
                <w:szCs w:val="32"/>
              </w:rPr>
              <w:t>-</w:t>
            </w:r>
            <w:r>
              <w:rPr>
                <w:rFonts w:hint="eastAsia" w:eastAsia="仿宋_GB2312"/>
                <w:kern w:val="0"/>
                <w:sz w:val="32"/>
                <w:szCs w:val="32"/>
                <w:lang w:val="en-US" w:eastAsia="zh-CN"/>
              </w:rPr>
              <w:t>55</w:t>
            </w:r>
            <w:r>
              <w:rPr>
                <w:rFonts w:eastAsia="仿宋_GB2312"/>
                <w:kern w:val="0"/>
                <w:sz w:val="32"/>
                <w:szCs w:val="32"/>
              </w:rPr>
              <w:t>分，中：</w:t>
            </w:r>
            <w:r>
              <w:rPr>
                <w:rFonts w:hint="eastAsia" w:eastAsia="仿宋_GB2312"/>
                <w:kern w:val="0"/>
                <w:sz w:val="32"/>
                <w:szCs w:val="32"/>
                <w:lang w:val="en-US" w:eastAsia="zh-CN"/>
              </w:rPr>
              <w:t>21</w:t>
            </w:r>
            <w:r>
              <w:rPr>
                <w:rFonts w:eastAsia="仿宋_GB2312"/>
                <w:kern w:val="0"/>
                <w:sz w:val="32"/>
                <w:szCs w:val="32"/>
              </w:rPr>
              <w:t>-</w:t>
            </w:r>
            <w:r>
              <w:rPr>
                <w:rFonts w:hint="eastAsia" w:eastAsia="仿宋_GB2312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eastAsia="仿宋_GB2312"/>
                <w:kern w:val="0"/>
                <w:sz w:val="32"/>
                <w:szCs w:val="32"/>
                <w:lang w:val="en-US" w:eastAsia="zh-CN"/>
              </w:rPr>
              <w:t>39</w:t>
            </w:r>
            <w:r>
              <w:rPr>
                <w:rFonts w:eastAsia="仿宋_GB2312"/>
                <w:kern w:val="0"/>
                <w:sz w:val="32"/>
                <w:szCs w:val="32"/>
              </w:rPr>
              <w:t>分，差：</w:t>
            </w:r>
            <w:r>
              <w:rPr>
                <w:rFonts w:hint="eastAsia" w:eastAsia="仿宋_GB2312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eastAsia="仿宋_GB2312"/>
                <w:kern w:val="0"/>
                <w:sz w:val="32"/>
                <w:szCs w:val="32"/>
              </w:rPr>
              <w:t>-</w:t>
            </w:r>
            <w:r>
              <w:rPr>
                <w:rFonts w:hint="eastAsia" w:eastAsia="仿宋_GB2312"/>
                <w:kern w:val="0"/>
                <w:sz w:val="32"/>
                <w:szCs w:val="32"/>
                <w:lang w:val="en-US" w:eastAsia="zh-CN"/>
              </w:rPr>
              <w:t>20</w:t>
            </w:r>
            <w:r>
              <w:rPr>
                <w:rFonts w:eastAsia="仿宋_GB2312"/>
                <w:kern w:val="0"/>
                <w:sz w:val="32"/>
                <w:szCs w:val="32"/>
              </w:rPr>
              <w:t>分。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left="2" w:leftChars="1"/>
              <w:jc w:val="center"/>
              <w:rPr>
                <w:rFonts w:hint="default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  <w:lang w:val="en-US" w:eastAsia="zh-CN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  <w:lang w:val="en-US" w:eastAsia="zh-CN"/>
              </w:rPr>
              <w:t>检验报告</w:t>
            </w:r>
          </w:p>
          <w:p>
            <w:pPr>
              <w:widowControl/>
              <w:spacing w:line="560" w:lineRule="exact"/>
              <w:jc w:val="center"/>
              <w:rPr>
                <w:rFonts w:hint="eastAsia"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  <w:lang w:val="en-US" w:eastAsia="zh-CN"/>
              </w:rPr>
              <w:t>情况</w:t>
            </w:r>
          </w:p>
        </w:tc>
        <w:tc>
          <w:tcPr>
            <w:tcW w:w="5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hint="eastAsia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  <w:lang w:val="en-US" w:eastAsia="zh-CN"/>
              </w:rPr>
              <w:t>提供产品合格检验报告（2023年），缺1品种扣3分，最高扣30分。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left="2" w:leftChars="1"/>
              <w:jc w:val="center"/>
              <w:rPr>
                <w:rFonts w:hint="default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83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left="2" w:leftChars="1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kern w:val="0"/>
                <w:sz w:val="32"/>
                <w:szCs w:val="32"/>
              </w:rPr>
              <w:t>合 计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left="2" w:leftChars="1"/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  <w:lang w:val="en-US" w:eastAsia="zh-CN"/>
              </w:rPr>
              <w:t>100</w:t>
            </w:r>
          </w:p>
        </w:tc>
      </w:tr>
    </w:tbl>
    <w:p>
      <w:pPr>
        <w:pStyle w:val="2"/>
        <w:widowControl w:val="0"/>
        <w:numPr>
          <w:ilvl w:val="0"/>
          <w:numId w:val="0"/>
        </w:numPr>
        <w:spacing w:before="25" w:beforeLines="0" w:after="25" w:afterLines="0"/>
        <w:jc w:val="left"/>
        <w:rPr>
          <w:rFonts w:hint="eastAsia"/>
        </w:rPr>
      </w:pPr>
    </w:p>
    <w:p>
      <w:pPr>
        <w:pStyle w:val="2"/>
        <w:widowControl w:val="0"/>
        <w:numPr>
          <w:ilvl w:val="0"/>
          <w:numId w:val="0"/>
        </w:numPr>
        <w:spacing w:before="25" w:beforeLines="0" w:after="25" w:afterLines="0"/>
        <w:jc w:val="left"/>
        <w:rPr>
          <w:rFonts w:hint="eastAsia"/>
        </w:rPr>
      </w:pP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eastAsia="楷体_GB2312"/>
          <w:sz w:val="32"/>
          <w:szCs w:val="32"/>
          <w:lang w:eastAsia="zh-CN"/>
        </w:rPr>
      </w:pPr>
    </w:p>
    <w:p>
      <w:pPr>
        <w:pStyle w:val="2"/>
        <w:rPr>
          <w:rFonts w:hint="eastAsia" w:eastAsia="楷体_GB2312"/>
          <w:sz w:val="32"/>
          <w:szCs w:val="32"/>
          <w:lang w:eastAsia="zh-CN"/>
        </w:rPr>
      </w:pP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eastAsia="楷体_GB2312"/>
          <w:sz w:val="32"/>
          <w:szCs w:val="32"/>
        </w:rPr>
      </w:pPr>
      <w:r>
        <w:rPr>
          <w:rFonts w:hint="eastAsia" w:eastAsia="楷体_GB2312"/>
          <w:sz w:val="32"/>
          <w:szCs w:val="32"/>
          <w:lang w:eastAsia="zh-CN"/>
        </w:rPr>
        <w:t>（二）</w:t>
      </w:r>
      <w:r>
        <w:rPr>
          <w:rFonts w:hint="eastAsia" w:eastAsia="楷体_GB2312"/>
          <w:sz w:val="32"/>
          <w:szCs w:val="32"/>
        </w:rPr>
        <w:t>商务响应评分（满分100分）</w:t>
      </w:r>
    </w:p>
    <w:tbl>
      <w:tblPr>
        <w:tblStyle w:val="3"/>
        <w:tblW w:w="94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1967"/>
        <w:gridCol w:w="5250"/>
        <w:gridCol w:w="13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left="-105" w:leftChars="-50" w:right="-105" w:rightChars="-50"/>
              <w:jc w:val="center"/>
              <w:rPr>
                <w:rFonts w:eastAsia="黑体"/>
                <w:bCs/>
                <w:kern w:val="0"/>
                <w:sz w:val="32"/>
                <w:szCs w:val="32"/>
              </w:rPr>
            </w:pPr>
            <w:r>
              <w:rPr>
                <w:rFonts w:hAnsi="黑体" w:eastAsia="黑体"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left="-105" w:leftChars="-50" w:right="-105" w:rightChars="-50"/>
              <w:jc w:val="center"/>
              <w:rPr>
                <w:rFonts w:eastAsia="黑体"/>
                <w:bCs/>
                <w:kern w:val="0"/>
                <w:sz w:val="32"/>
                <w:szCs w:val="32"/>
              </w:rPr>
            </w:pPr>
            <w:r>
              <w:rPr>
                <w:rFonts w:hAnsi="黑体" w:eastAsia="黑体"/>
                <w:bCs/>
                <w:kern w:val="0"/>
                <w:sz w:val="32"/>
                <w:szCs w:val="32"/>
              </w:rPr>
              <w:t>评审因素</w:t>
            </w:r>
          </w:p>
        </w:tc>
        <w:tc>
          <w:tcPr>
            <w:tcW w:w="5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left="-105" w:leftChars="-50" w:right="-105" w:rightChars="-50"/>
              <w:jc w:val="center"/>
              <w:rPr>
                <w:rFonts w:eastAsia="黑体"/>
                <w:bCs/>
                <w:kern w:val="0"/>
                <w:sz w:val="32"/>
                <w:szCs w:val="32"/>
              </w:rPr>
            </w:pPr>
            <w:r>
              <w:rPr>
                <w:rFonts w:hAnsi="黑体" w:eastAsia="黑体"/>
                <w:bCs/>
                <w:kern w:val="0"/>
                <w:sz w:val="32"/>
                <w:szCs w:val="32"/>
              </w:rPr>
              <w:t>评分标准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left="-105" w:leftChars="-50" w:right="-105" w:rightChars="-50"/>
              <w:jc w:val="center"/>
              <w:rPr>
                <w:rFonts w:eastAsia="黑体"/>
                <w:bCs/>
                <w:kern w:val="0"/>
                <w:sz w:val="32"/>
                <w:szCs w:val="32"/>
              </w:rPr>
            </w:pPr>
            <w:r>
              <w:rPr>
                <w:rFonts w:hAnsi="黑体" w:eastAsia="黑体"/>
                <w:bCs/>
                <w:kern w:val="0"/>
                <w:sz w:val="32"/>
                <w:szCs w:val="32"/>
              </w:rPr>
              <w:t>权重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left="2" w:leftChars="1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1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  <w:lang w:val="en-US" w:eastAsia="zh-CN"/>
              </w:rPr>
              <w:t>职业认证</w:t>
            </w:r>
          </w:p>
        </w:tc>
        <w:tc>
          <w:tcPr>
            <w:tcW w:w="5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640" w:firstLineChars="200"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spacing w:val="0"/>
                <w:kern w:val="0"/>
                <w:sz w:val="32"/>
                <w:szCs w:val="32"/>
                <w:shd w:val="clear"/>
                <w:lang w:val="en-US" w:eastAsia="zh-CN" w:bidi="ar"/>
              </w:rPr>
              <w:t>为保障食品供应安全，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spacing w:val="0"/>
                <w:kern w:val="0"/>
                <w:sz w:val="32"/>
                <w:szCs w:val="32"/>
                <w:shd w:val="clear"/>
                <w:lang w:bidi="ar"/>
              </w:rPr>
              <w:t>供应商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"/>
              </w:rPr>
              <w:t>具有有效的职业健康、安全管理体系认证证书，提供</w:t>
            </w:r>
            <w:r>
              <w:rPr>
                <w:rFonts w:hint="eastAsia" w:eastAsia="仿宋_GB2312" w:cs="Times New Roman"/>
                <w:kern w:val="0"/>
                <w:sz w:val="32"/>
                <w:szCs w:val="32"/>
                <w:lang w:val="en-US" w:eastAsia="zh-CN" w:bidi="ar"/>
              </w:rPr>
              <w:t>1项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"/>
              </w:rPr>
              <w:t xml:space="preserve">得 </w:t>
            </w:r>
            <w:r>
              <w:rPr>
                <w:rFonts w:hint="eastAsia" w:eastAsia="仿宋_GB2312" w:cs="Times New Roman"/>
                <w:kern w:val="0"/>
                <w:sz w:val="32"/>
                <w:szCs w:val="32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"/>
              </w:rPr>
              <w:t>0 分，</w:t>
            </w:r>
            <w:r>
              <w:rPr>
                <w:rFonts w:hint="eastAsia" w:eastAsia="仿宋_GB2312" w:cs="Times New Roman"/>
                <w:kern w:val="0"/>
                <w:sz w:val="32"/>
                <w:szCs w:val="32"/>
                <w:lang w:val="en-US" w:eastAsia="zh-CN" w:bidi="ar"/>
              </w:rPr>
              <w:t>最高得20分，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"/>
              </w:rPr>
              <w:t>未提供不得分。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left="2" w:leftChars="1"/>
              <w:jc w:val="center"/>
              <w:rPr>
                <w:rFonts w:hint="eastAsia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  <w:lang w:val="en-US" w:eastAsia="zh-CN"/>
              </w:rPr>
              <w:t>仓储服务</w:t>
            </w:r>
          </w:p>
        </w:tc>
        <w:tc>
          <w:tcPr>
            <w:tcW w:w="5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640" w:firstLineChars="200"/>
              <w:jc w:val="left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供应商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承诺在中标后，自合同签订之日起</w:t>
            </w:r>
            <w:r>
              <w:rPr>
                <w:rFonts w:hint="eastAsia" w:eastAsia="仿宋_GB2312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8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天内，将所有货物送至</w:t>
            </w:r>
            <w:r>
              <w:rPr>
                <w:rFonts w:hint="eastAsia" w:eastAsia="仿宋_GB2312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广州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 w:bidi="ar"/>
              </w:rPr>
              <w:t>仓储点，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"/>
              </w:rPr>
              <w:t>然后</w:t>
            </w:r>
            <w:r>
              <w:rPr>
                <w:rFonts w:hint="eastAsia" w:eastAsia="仿宋_GB2312" w:cs="Times New Roman"/>
                <w:kern w:val="0"/>
                <w:sz w:val="32"/>
                <w:szCs w:val="32"/>
                <w:lang w:val="en-US" w:eastAsia="zh-CN" w:bidi="ar"/>
              </w:rPr>
              <w:t>2天内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"/>
              </w:rPr>
              <w:t>分批配送至采购人指定地点</w:t>
            </w:r>
            <w:r>
              <w:rPr>
                <w:rFonts w:hint="eastAsia" w:eastAsia="仿宋_GB2312" w:cs="Times New Roman"/>
                <w:kern w:val="0"/>
                <w:sz w:val="32"/>
                <w:szCs w:val="32"/>
                <w:lang w:val="en-US" w:eastAsia="zh-CN" w:bidi="ar"/>
              </w:rPr>
              <w:t>（12个）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"/>
              </w:rPr>
              <w:t xml:space="preserve">，未配送的产品由中标人免费提供仓储服务。提供承诺函（格式自拟），能提供的得 </w:t>
            </w:r>
            <w:r>
              <w:rPr>
                <w:rFonts w:hint="eastAsia" w:eastAsia="仿宋_GB2312" w:cs="Times New Roman"/>
                <w:kern w:val="0"/>
                <w:sz w:val="32"/>
                <w:szCs w:val="32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"/>
              </w:rPr>
              <w:t>0 分，未提供不得分。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left="2" w:leftChars="1"/>
              <w:jc w:val="center"/>
              <w:rPr>
                <w:rFonts w:hint="eastAsia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32"/>
                <w:szCs w:val="32"/>
              </w:rPr>
              <w:t>服务支撑力</w:t>
            </w:r>
          </w:p>
        </w:tc>
        <w:tc>
          <w:tcPr>
            <w:tcW w:w="5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具备便捷,优质,高效的综合运输服务能力，确保能发出指令后12小时内送货到达现场。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"/>
              </w:rPr>
              <w:t xml:space="preserve">提供承诺函（格式自拟），能提供的得 </w:t>
            </w:r>
            <w:r>
              <w:rPr>
                <w:rFonts w:hint="eastAsia" w:eastAsia="仿宋_GB2312" w:cs="Times New Roman"/>
                <w:kern w:val="0"/>
                <w:sz w:val="32"/>
                <w:szCs w:val="32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"/>
              </w:rPr>
              <w:t>0 分，未提供不得分。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80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left="2" w:leftChars="1"/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kern w:val="0"/>
                <w:sz w:val="32"/>
                <w:szCs w:val="32"/>
              </w:rPr>
              <w:t>合 计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left="2" w:leftChars="1"/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  <w:lang w:val="en-US" w:eastAsia="zh-CN"/>
              </w:rPr>
              <w:t>100</w:t>
            </w:r>
          </w:p>
        </w:tc>
      </w:tr>
    </w:tbl>
    <w:p>
      <w:pPr>
        <w:numPr>
          <w:ilvl w:val="0"/>
          <w:numId w:val="0"/>
        </w:numPr>
        <w:spacing w:line="560" w:lineRule="exact"/>
        <w:rPr>
          <w:rFonts w:hint="eastAsia" w:eastAsia="楷体_GB2312"/>
          <w:sz w:val="32"/>
          <w:szCs w:val="32"/>
        </w:rPr>
      </w:pPr>
    </w:p>
    <w:p>
      <w:pPr>
        <w:numPr>
          <w:ilvl w:val="0"/>
          <w:numId w:val="0"/>
        </w:numPr>
        <w:spacing w:line="560" w:lineRule="exact"/>
        <w:rPr>
          <w:rFonts w:hint="eastAsia" w:eastAsia="楷体_GB2312"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spacing w:line="560" w:lineRule="exact"/>
        <w:ind w:firstLine="640" w:firstLineChars="200"/>
        <w:rPr>
          <w:rFonts w:hint="eastAsia" w:eastAsia="楷体_GB2312"/>
          <w:sz w:val="32"/>
          <w:szCs w:val="32"/>
        </w:rPr>
      </w:pPr>
      <w:r>
        <w:rPr>
          <w:rFonts w:hint="eastAsia" w:eastAsia="楷体_GB2312"/>
          <w:sz w:val="32"/>
          <w:szCs w:val="32"/>
        </w:rPr>
        <w:t>（三）价格合理性评分（满分100分）</w:t>
      </w:r>
    </w:p>
    <w:tbl>
      <w:tblPr>
        <w:tblStyle w:val="3"/>
        <w:tblW w:w="90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"/>
        <w:gridCol w:w="1585"/>
        <w:gridCol w:w="5229"/>
        <w:gridCol w:w="1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left="2" w:leftChars="1"/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left="2" w:leftChars="1"/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kern w:val="0"/>
                <w:sz w:val="32"/>
                <w:szCs w:val="32"/>
              </w:rPr>
              <w:t>评审因素</w:t>
            </w:r>
          </w:p>
        </w:tc>
        <w:tc>
          <w:tcPr>
            <w:tcW w:w="5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left="2" w:leftChars="1"/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kern w:val="0"/>
                <w:sz w:val="32"/>
                <w:szCs w:val="32"/>
              </w:rPr>
              <w:t>评分标准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left="2" w:leftChars="1"/>
              <w:jc w:val="center"/>
              <w:rPr>
                <w:rFonts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kern w:val="0"/>
                <w:sz w:val="32"/>
                <w:szCs w:val="32"/>
              </w:rPr>
              <w:t>权重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1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left="2" w:leftChars="1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比选报价</w:t>
            </w:r>
          </w:p>
        </w:tc>
        <w:tc>
          <w:tcPr>
            <w:tcW w:w="5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640" w:firstLineChars="200"/>
              <w:textAlignment w:val="auto"/>
              <w:rPr>
                <w:rFonts w:hint="eastAsia" w:eastAsia="仿宋_GB2312"/>
                <w:kern w:val="0"/>
                <w:sz w:val="32"/>
                <w:szCs w:val="32"/>
                <w:lang w:val="en" w:eastAsia="zh-CN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采用低价优先法计算。即满足比选文件要求且价格最低的有效报价为评审基准价，其报价为满分。其他比选申请人的分值统一按照下列公式计算：比选申请人报价得分=（评审基准价÷比选申请人报价）×价格权重100（精确到0.01）</w:t>
            </w:r>
            <w:r>
              <w:rPr>
                <w:rFonts w:hint="eastAsia" w:eastAsia="仿宋_GB2312"/>
                <w:kern w:val="0"/>
                <w:sz w:val="32"/>
                <w:szCs w:val="32"/>
                <w:lang w:eastAsia="zh-CN"/>
              </w:rPr>
              <w:t>。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left="2" w:leftChars="1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10</w:t>
            </w:r>
            <w:r>
              <w:rPr>
                <w:rFonts w:eastAsia="仿宋_GB2312"/>
                <w:kern w:val="0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7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left="-36" w:leftChars="-17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kern w:val="0"/>
                <w:sz w:val="32"/>
                <w:szCs w:val="32"/>
              </w:rPr>
              <w:t>合 计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left="2" w:leftChars="1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100</w:t>
            </w:r>
          </w:p>
        </w:tc>
      </w:tr>
    </w:tbl>
    <w:p>
      <w:pPr>
        <w:spacing w:line="560" w:lineRule="exact"/>
        <w:ind w:firstLine="297" w:firstLineChars="99"/>
        <w:rPr>
          <w:rFonts w:hint="eastAsia" w:ascii="仿宋_GB2312" w:hAnsi="仿宋" w:eastAsia="仿宋_GB2312"/>
          <w:b w:val="0"/>
          <w:bCs/>
          <w:sz w:val="30"/>
          <w:szCs w:val="30"/>
        </w:rPr>
      </w:pPr>
    </w:p>
    <w:p>
      <w:r>
        <w:rPr>
          <w:rFonts w:hint="eastAsia" w:ascii="仿宋_GB2312" w:hAnsi="仿宋" w:eastAsia="仿宋_GB2312"/>
          <w:b/>
          <w:bCs w:val="0"/>
          <w:sz w:val="32"/>
          <w:szCs w:val="32"/>
        </w:rPr>
        <w:t>综合评分</w:t>
      </w:r>
      <w:r>
        <w:rPr>
          <w:rFonts w:hint="eastAsia" w:ascii="仿宋_GB2312" w:hAnsi="仿宋" w:eastAsia="仿宋_GB2312"/>
          <w:b w:val="0"/>
          <w:bCs/>
          <w:sz w:val="32"/>
          <w:szCs w:val="32"/>
        </w:rPr>
        <w:t>=</w:t>
      </w:r>
      <w:r>
        <w:rPr>
          <w:rFonts w:hint="eastAsia" w:ascii="仿宋_GB2312" w:hAnsi="仿宋" w:eastAsia="仿宋_GB2312"/>
          <w:b w:val="0"/>
          <w:bCs/>
          <w:sz w:val="32"/>
          <w:szCs w:val="32"/>
          <w:lang w:eastAsia="zh-CN"/>
        </w:rPr>
        <w:t>商品质量</w:t>
      </w:r>
      <w:r>
        <w:rPr>
          <w:rFonts w:hint="eastAsia" w:ascii="仿宋_GB2312" w:hAnsi="仿宋" w:eastAsia="仿宋_GB2312"/>
          <w:b w:val="0"/>
          <w:bCs/>
          <w:sz w:val="32"/>
          <w:szCs w:val="32"/>
        </w:rPr>
        <w:t>评分×</w:t>
      </w:r>
      <w:r>
        <w:rPr>
          <w:rFonts w:hint="eastAsia" w:eastAsia="仿宋_GB2312"/>
          <w:b w:val="0"/>
          <w:bCs/>
          <w:sz w:val="32"/>
          <w:szCs w:val="32"/>
          <w:lang w:val="en-US" w:eastAsia="zh-CN"/>
        </w:rPr>
        <w:t>4</w:t>
      </w:r>
      <w:r>
        <w:rPr>
          <w:rFonts w:eastAsia="GulimChe"/>
          <w:b w:val="0"/>
          <w:bCs/>
          <w:sz w:val="32"/>
          <w:szCs w:val="32"/>
        </w:rPr>
        <w:t>0%</w:t>
      </w:r>
      <w:r>
        <w:rPr>
          <w:rFonts w:hint="eastAsia" w:ascii="仿宋_GB2312" w:hAnsi="仿宋" w:eastAsia="仿宋_GB2312"/>
          <w:b w:val="0"/>
          <w:bCs/>
          <w:sz w:val="32"/>
          <w:szCs w:val="32"/>
        </w:rPr>
        <w:t>＋商务</w:t>
      </w:r>
      <w:r>
        <w:rPr>
          <w:rFonts w:hint="eastAsia" w:ascii="仿宋_GB2312" w:hAnsi="仿宋" w:eastAsia="仿宋_GB2312"/>
          <w:b w:val="0"/>
          <w:bCs/>
          <w:sz w:val="32"/>
          <w:szCs w:val="32"/>
          <w:lang w:eastAsia="zh-CN"/>
        </w:rPr>
        <w:t>响应</w:t>
      </w:r>
      <w:r>
        <w:rPr>
          <w:rFonts w:hint="eastAsia" w:ascii="仿宋_GB2312" w:hAnsi="仿宋" w:eastAsia="仿宋_GB2312"/>
          <w:b w:val="0"/>
          <w:bCs/>
          <w:sz w:val="32"/>
          <w:szCs w:val="32"/>
        </w:rPr>
        <w:t>评分×</w:t>
      </w:r>
      <w:r>
        <w:rPr>
          <w:rFonts w:hint="eastAsia" w:ascii="仿宋_GB2312" w:hAnsi="仿宋" w:eastAsia="仿宋_GB2312"/>
          <w:b w:val="0"/>
          <w:bCs/>
          <w:sz w:val="32"/>
          <w:szCs w:val="32"/>
          <w:lang w:val="en-US" w:eastAsia="zh-CN"/>
        </w:rPr>
        <w:t>3</w:t>
      </w:r>
      <w:r>
        <w:rPr>
          <w:rFonts w:hint="eastAsia" w:eastAsia="GulimChe"/>
          <w:b w:val="0"/>
          <w:bCs/>
          <w:sz w:val="32"/>
          <w:szCs w:val="32"/>
        </w:rPr>
        <w:t>0%</w:t>
      </w:r>
      <w:r>
        <w:rPr>
          <w:rFonts w:hint="eastAsia" w:ascii="仿宋_GB2312" w:hAnsi="仿宋" w:eastAsia="仿宋_GB2312"/>
          <w:b w:val="0"/>
          <w:bCs/>
          <w:sz w:val="32"/>
          <w:szCs w:val="32"/>
        </w:rPr>
        <w:t>＋价格评分×</w:t>
      </w:r>
      <w:r>
        <w:rPr>
          <w:rFonts w:hint="eastAsia" w:eastAsia="GulimChe"/>
          <w:b w:val="0"/>
          <w:bCs/>
          <w:sz w:val="32"/>
          <w:szCs w:val="32"/>
        </w:rPr>
        <w:t>30%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GulimChe">
    <w:panose1 w:val="020B0609000101010101"/>
    <w:charset w:val="81"/>
    <w:family w:val="modern"/>
    <w:pitch w:val="default"/>
    <w:sig w:usb0="B00002AF" w:usb1="69D77CFB" w:usb2="00000030" w:usb3="00000000" w:csb0="4008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3DFBA98"/>
    <w:multiLevelType w:val="singleLevel"/>
    <w:tmpl w:val="73DFBA98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zMWU4NmY4MmZhMjRjNTE5OTI0NGE0YjdjYjY2Y2IifQ=="/>
    <w:docVar w:name="KSO_WPS_MARK_KEY" w:val="4fff7970-3dfa-4df0-93eb-81f1dde87d1f"/>
  </w:docVars>
  <w:rsids>
    <w:rsidRoot w:val="13F0494B"/>
    <w:rsid w:val="13F0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basedOn w:val="1"/>
    <w:qFormat/>
    <w:uiPriority w:val="0"/>
    <w:pPr>
      <w:spacing w:before="25" w:beforeLines="0" w:after="25" w:afterLines="0"/>
      <w:jc w:val="left"/>
    </w:pPr>
    <w:rPr>
      <w:rFonts w:ascii="Calibri" w:hAnsi="Calibri" w:eastAsia="宋体"/>
      <w:bCs/>
      <w:spacing w:val="1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2024-01-08T08:24:00Z</dcterms:created>
  <dc:creator>网站编辑</dc:creator>
  <cp:lastModifiedBy>网站编辑</cp:lastModifiedBy>
  <dcterms:modified xsi:type="dcterms:W3CDTF">2024-01-08T08:25:48Z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EE9373F920DE436B87175A04A68E0E89_11</vt:lpwstr>
  </property>
</Properties>
</file>