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</w:t>
      </w:r>
    </w:p>
    <w:p>
      <w:pP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  <w:bookmarkEnd w:id="0"/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3"/>
        <w:tblW w:w="882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val="en-US" w:eastAsia="zh-CN"/>
              </w:rPr>
              <w:t>2024年春节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慰问品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4fff7970-3dfa-4df0-93eb-81f1dde87d1f"/>
  </w:docVars>
  <w:rsids>
    <w:rsidRoot w:val="13F0494B"/>
    <w:rsid w:val="13F0494B"/>
    <w:rsid w:val="5990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680</Characters>
  <Lines>0</Lines>
  <Paragraphs>0</Paragraphs>
  <TotalTime>0</TotalTime>
  <ScaleCrop>false</ScaleCrop>
  <LinksUpToDate>false</LinksUpToDate>
  <CharactersWithSpaces>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2024-01-08T08:24:00Z</dcterms:created>
  <dc:creator>网站编辑</dc:creator>
  <cp:lastModifiedBy>网站编辑</cp:lastModifiedBy>
  <dcterms:modified xsi:type="dcterms:W3CDTF">2024-01-08T08:26:00Z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8AFBC2EA86B54ADDB295C348EDC0C0D8_13</vt:lpwstr>
  </property>
</Properties>
</file>