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2</w:t>
      </w:r>
    </w:p>
    <w:p>
      <w:pPr>
        <w:spacing w:line="360" w:lineRule="auto"/>
        <w:ind w:firstLine="1446" w:firstLineChars="40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申请人报名须提交的书面资料一览表</w:t>
      </w:r>
    </w:p>
    <w:tbl>
      <w:tblPr>
        <w:tblStyle w:val="7"/>
        <w:tblpPr w:leftFromText="180" w:rightFromText="180" w:vertAnchor="text" w:horzAnchor="margin" w:tblpX="-713" w:tblpY="313"/>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540"/>
        <w:gridCol w:w="2930"/>
        <w:gridCol w:w="3675"/>
        <w:gridCol w:w="2479"/>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468" w:type="dxa"/>
            <w:tcBorders>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3470" w:type="dxa"/>
            <w:gridSpan w:val="2"/>
            <w:tcBorders>
              <w:left w:val="single" w:color="auto" w:sz="4" w:space="0"/>
              <w:righ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3675" w:type="dxa"/>
            <w:tcBorders>
              <w:left w:val="single" w:color="auto" w:sz="4" w:space="0"/>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c>
          <w:tcPr>
            <w:tcW w:w="2479" w:type="dxa"/>
            <w:tcBorders>
              <w:left w:val="single" w:color="auto" w:sz="4" w:space="0"/>
            </w:tcBorders>
            <w:noWrap/>
            <w:vAlign w:val="center"/>
          </w:tcPr>
          <w:p>
            <w:pPr>
              <w:jc w:val="center"/>
              <w:rPr>
                <w:rFonts w:hint="default" w:ascii="Times New Roman" w:hAnsi="Times New Roman" w:eastAsia="宋体" w:cs="Times New Roman"/>
                <w:b/>
                <w:color w:val="000000"/>
                <w:lang w:val="en-US" w:eastAsia="zh-CN"/>
              </w:rPr>
            </w:pPr>
            <w:r>
              <w:rPr>
                <w:rFonts w:hint="default" w:ascii="Times New Roman" w:hAnsi="Times New Roman" w:cs="Times New Roman"/>
                <w:b/>
                <w:color w:val="000000"/>
                <w:lang w:val="en-US" w:eastAsia="zh-CN"/>
              </w:rPr>
              <w:t>分值</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540" w:type="dxa"/>
            <w:vMerge w:val="restart"/>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资格性审查</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申请人必须符合《中华人民共和国政府采购法》第二十二条规定，具有服装生产企业法人资格，经营范围应包括生产服装、鞋等经营范围，有相当的技术力量、经济实力和良好的信誉，并具有较强的售后服务能力。</w:t>
            </w:r>
          </w:p>
        </w:tc>
        <w:tc>
          <w:tcPr>
            <w:tcW w:w="3675" w:type="dxa"/>
            <w:tcBorders>
              <w:left w:val="single" w:color="auto" w:sz="4" w:space="0"/>
            </w:tcBorders>
            <w:noWrap/>
            <w:vAlign w:val="center"/>
          </w:tcPr>
          <w:p>
            <w:pPr>
              <w:jc w:val="both"/>
              <w:rPr>
                <w:rFonts w:hint="default" w:ascii="Times New Roman" w:hAnsi="Times New Roman" w:eastAsia="宋体" w:cs="Times New Roman"/>
                <w:color w:val="000000"/>
                <w:lang w:eastAsia="zh-CN"/>
              </w:rPr>
            </w:pPr>
            <w:r>
              <w:rPr>
                <w:rFonts w:hint="default" w:ascii="Times New Roman" w:hAnsi="Times New Roman" w:cs="Times New Roman"/>
                <w:color w:val="000000"/>
              </w:rPr>
              <w:t>处于有效期内的营业执照复印件（业务范围须与本项目相适应；营业执照范围不详细的，须补充说明）</w:t>
            </w:r>
            <w:r>
              <w:rPr>
                <w:rFonts w:hint="default" w:ascii="Times New Roman" w:hAnsi="Times New Roman" w:cs="Times New Roman"/>
                <w:color w:val="000000"/>
                <w:lang w:eastAsia="zh-CN"/>
              </w:rPr>
              <w:t>。</w:t>
            </w:r>
          </w:p>
        </w:tc>
        <w:tc>
          <w:tcPr>
            <w:tcW w:w="2479" w:type="dxa"/>
            <w:vMerge w:val="restart"/>
            <w:tcBorders>
              <w:lef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一</w:t>
            </w: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票</w:t>
            </w:r>
          </w:p>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否</w:t>
            </w:r>
          </w:p>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决</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eastAsia="宋体" w:cs="Times New Roman"/>
                <w:color w:val="000000"/>
                <w:lang w:eastAsia="zh-CN"/>
              </w:rPr>
            </w:pPr>
            <w:r>
              <w:rPr>
                <w:rFonts w:hint="eastAsia" w:ascii="Times New Roman" w:hAnsi="Times New Roman" w:cs="Times New Roman"/>
                <w:color w:val="000000"/>
                <w:lang w:val="en-US" w:eastAsia="zh-CN"/>
              </w:rPr>
              <w:t>2</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rPr>
              <w:t>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3675" w:type="dxa"/>
            <w:tcBorders>
              <w:left w:val="single" w:color="auto" w:sz="4" w:space="0"/>
            </w:tcBorders>
            <w:noWrap/>
            <w:vAlign w:val="center"/>
          </w:tcPr>
          <w:p>
            <w:pPr>
              <w:jc w:val="left"/>
              <w:rPr>
                <w:rFonts w:hint="default" w:ascii="Times New Roman" w:hAnsi="Times New Roman" w:cs="Times New Roman"/>
                <w:color w:val="000000"/>
              </w:rPr>
            </w:pPr>
            <w:r>
              <w:rPr>
                <w:rFonts w:hint="default" w:ascii="Times New Roman" w:hAnsi="Times New Roman" w:cs="Times New Roman"/>
                <w:color w:val="000000"/>
                <w:lang w:val="en-US" w:eastAsia="zh-CN"/>
              </w:rPr>
              <w:t>提供申请人声明；如相关失信记录已失效，响应供应商需提供相关证明资料。</w:t>
            </w:r>
          </w:p>
        </w:tc>
        <w:tc>
          <w:tcPr>
            <w:tcW w:w="2479" w:type="dxa"/>
            <w:vMerge w:val="continue"/>
            <w:tcBorders>
              <w:left w:val="single" w:color="auto" w:sz="4" w:space="0"/>
            </w:tcBorders>
            <w:noWrap/>
            <w:vAlign w:val="center"/>
          </w:tcPr>
          <w:p>
            <w:pPr>
              <w:jc w:val="left"/>
              <w:rPr>
                <w:rFonts w:hint="default" w:ascii="Times New Roman" w:hAnsi="Times New Roman" w:cs="Times New Roman"/>
                <w:color w:val="00000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取得公司（企业）授权参与本次采购活动</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申请人可使用广东省工商行政管理局统一印制的法定代表人授权委托书格式或自拟格式。</w:t>
            </w:r>
          </w:p>
        </w:tc>
        <w:tc>
          <w:tcPr>
            <w:tcW w:w="2479" w:type="dxa"/>
            <w:vMerge w:val="continue"/>
            <w:tcBorders>
              <w:left w:val="single" w:color="auto" w:sz="4" w:space="0"/>
            </w:tcBorders>
            <w:noWrap/>
            <w:vAlign w:val="center"/>
          </w:tcPr>
          <w:p>
            <w:pPr>
              <w:jc w:val="left"/>
              <w:rPr>
                <w:rFonts w:hint="default" w:ascii="Times New Roman" w:hAnsi="Times New Roman" w:cs="Times New Roman"/>
                <w:color w:val="000000"/>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4</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价格评分采用“低价优先法”计算。计算价格得分：价格分统一采用低价优先法计算，在各供货商的报价中，取满足比选要求且报价最低的申请人的价格为比选基准价。</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提供报价函、比选报价书</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申请人的价格得分统一按照下列公式计算：</w:t>
            </w:r>
          </w:p>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价格得分=（比选基准价／报价）×3</w:t>
            </w:r>
            <w:r>
              <w:rPr>
                <w:rFonts w:hint="eastAsia" w:ascii="Times New Roman" w:hAnsi="Times New Roman" w:cs="Times New Roman"/>
                <w:color w:val="000000"/>
                <w:lang w:val="en-US" w:eastAsia="zh-CN"/>
              </w:rPr>
              <w:t>5</w:t>
            </w:r>
            <w:r>
              <w:rPr>
                <w:rFonts w:hint="default" w:ascii="Times New Roman" w:hAnsi="Times New Roman" w:cs="Times New Roman"/>
                <w:color w:val="000000"/>
                <w:lang w:val="en-US" w:eastAsia="zh-CN"/>
              </w:rPr>
              <w:t>%×100</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5</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根据财务部、工业和信息化部印发的《政府采购促进中小企业发展管理办法》的通知（财库〔2020〕46 号）的规定，对小型和微型企业产品的价格给予 6%的扣除；监狱企业、残疾人福利性单位视同小、微型企业同等享受评审中价格扣除。</w:t>
            </w:r>
          </w:p>
        </w:tc>
        <w:tc>
          <w:tcPr>
            <w:tcW w:w="3675" w:type="dxa"/>
            <w:tcBorders>
              <w:left w:val="single" w:color="auto" w:sz="4" w:space="0"/>
            </w:tcBorders>
            <w:noWrap/>
            <w:vAlign w:val="center"/>
          </w:tcPr>
          <w:p>
            <w:pPr>
              <w:numPr>
                <w:ilvl w:val="0"/>
                <w:numId w:val="0"/>
              </w:numPr>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1.</w:t>
            </w:r>
            <w:r>
              <w:rPr>
                <w:rFonts w:hint="default" w:ascii="Times New Roman" w:hAnsi="Times New Roman" w:cs="Times New Roman"/>
                <w:color w:val="000000"/>
                <w:lang w:val="en-US" w:eastAsia="zh-CN"/>
              </w:rPr>
              <w:t>参加政府采购活动的中小企业应当提供《中小企业声明函》（如有）；</w:t>
            </w:r>
          </w:p>
          <w:p>
            <w:pPr>
              <w:numPr>
                <w:ilvl w:val="0"/>
                <w:numId w:val="0"/>
              </w:numPr>
              <w:ind w:left="0" w:leftChars="0" w:firstLine="0" w:firstLineChars="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监狱企业参加政府采购活动时，应当提供由省级以上监狱管理局、戒毒管理局（含新疆生产建设兵团）出具的属于监狱企业的证明文件，否则不予认可；</w:t>
            </w:r>
          </w:p>
          <w:p>
            <w:pPr>
              <w:numPr>
                <w:ilvl w:val="0"/>
                <w:numId w:val="0"/>
              </w:numPr>
              <w:ind w:left="0" w:leftChars="0" w:firstLine="0" w:firstLineChars="0"/>
              <w:jc w:val="left"/>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符合条件的残疾人福利性单位在参加政府采购活动时，应当提供该通知规定的《残疾人福利性单位声明函》。</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申请人同时为小型、微型企业、监狱企业和残疾人福利性单位任两种或以上情况的，评审中只享受一次价格扣除。不重复进行价格扣除。</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6</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商务评分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企业认证情况</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提供有效期内的质量管理体系认证、环境管理体系认证、职业健康安全管理体系认证证书的复印件。</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每个证书得</w:t>
            </w:r>
            <w:r>
              <w:rPr>
                <w:rFonts w:hint="eastAsia" w:ascii="Times New Roman" w:hAnsi="Times New Roman" w:cs="Times New Roman"/>
                <w:color w:val="000000"/>
                <w:lang w:val="en-US" w:eastAsia="zh-CN"/>
              </w:rPr>
              <w:t>4</w:t>
            </w:r>
            <w:r>
              <w:rPr>
                <w:rFonts w:hint="default" w:ascii="Times New Roman" w:hAnsi="Times New Roman" w:cs="Times New Roman"/>
                <w:color w:val="000000"/>
                <w:lang w:val="en-US" w:eastAsia="zh-CN"/>
              </w:rPr>
              <w:t>分，满分</w:t>
            </w:r>
            <w:r>
              <w:rPr>
                <w:rFonts w:hint="eastAsia" w:ascii="Times New Roman" w:hAnsi="Times New Roman" w:cs="Times New Roman"/>
                <w:color w:val="000000"/>
                <w:lang w:val="en-US" w:eastAsia="zh-CN"/>
              </w:rPr>
              <w:t>12</w:t>
            </w:r>
            <w:r>
              <w:rPr>
                <w:rFonts w:hint="default" w:ascii="Times New Roman" w:hAnsi="Times New Roman" w:cs="Times New Roman"/>
                <w:color w:val="000000"/>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7</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cs="Times New Roman"/>
                <w:color w:val="000000"/>
                <w:kern w:val="0"/>
                <w:sz w:val="20"/>
                <w:szCs w:val="20"/>
                <w:lang w:val="en-US" w:eastAsia="zh-CN"/>
              </w:rPr>
              <w:t>获奖荣誉</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提供具有有关企业诚信\履约\守信的证明、信用证明、资信证明、获奖荣誉等</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每提供一个得</w:t>
            </w: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分，最高</w:t>
            </w:r>
            <w:r>
              <w:rPr>
                <w:rFonts w:hint="eastAsia" w:ascii="Times New Roman" w:hAnsi="Times New Roman" w:cs="Times New Roman"/>
                <w:color w:val="000000"/>
                <w:lang w:val="en-US" w:eastAsia="zh-CN"/>
              </w:rPr>
              <w:t>8</w:t>
            </w:r>
            <w:r>
              <w:rPr>
                <w:rFonts w:hint="default" w:ascii="Times New Roman" w:hAnsi="Times New Roman" w:cs="Times New Roman"/>
                <w:color w:val="000000"/>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8</w:t>
            </w:r>
          </w:p>
        </w:tc>
        <w:tc>
          <w:tcPr>
            <w:tcW w:w="540" w:type="dxa"/>
            <w:vMerge w:val="restart"/>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技术评分</w:t>
            </w:r>
          </w:p>
        </w:tc>
        <w:tc>
          <w:tcPr>
            <w:tcW w:w="2930" w:type="dxa"/>
            <w:tcBorders>
              <w:left w:val="single" w:color="auto" w:sz="4" w:space="0"/>
              <w:righ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对采购需求的响应程度</w:t>
            </w:r>
          </w:p>
        </w:tc>
        <w:tc>
          <w:tcPr>
            <w:tcW w:w="3675"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投标产品完全满足工作服制作要求（附件1）的所有参数，提供响应一览表。</w:t>
            </w:r>
          </w:p>
        </w:tc>
        <w:tc>
          <w:tcPr>
            <w:tcW w:w="2479" w:type="dxa"/>
            <w:tcBorders>
              <w:left w:val="single" w:color="auto" w:sz="4" w:space="0"/>
            </w:tcBorders>
            <w:noWrap/>
            <w:vAlign w:val="center"/>
          </w:tcPr>
          <w:p>
            <w:p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基准分20分，不满足一项参数扣4分，扣完为止。</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jc w:val="center"/>
              <w:rPr>
                <w:rFonts w:hint="default" w:ascii="Times New Roman" w:hAnsi="Times New Roman" w:cs="Times New Roman"/>
                <w:color w:val="000000"/>
                <w:lang w:val="en-US" w:eastAsia="zh-CN"/>
              </w:rPr>
            </w:pPr>
            <w:r>
              <w:rPr>
                <w:rFonts w:hint="eastAsia" w:ascii="Times New Roman" w:hAnsi="Times New Roman" w:cs="Times New Roman"/>
                <w:color w:val="000000"/>
                <w:lang w:val="en-US" w:eastAsia="zh-CN"/>
              </w:rPr>
              <w:t>9</w:t>
            </w:r>
          </w:p>
        </w:tc>
        <w:tc>
          <w:tcPr>
            <w:tcW w:w="540" w:type="dxa"/>
            <w:vMerge w:val="continue"/>
            <w:tcBorders>
              <w:left w:val="single" w:color="auto" w:sz="4" w:space="0"/>
              <w:right w:val="single" w:color="auto" w:sz="4" w:space="0"/>
            </w:tcBorders>
            <w:noWrap/>
            <w:vAlign w:val="center"/>
          </w:tcPr>
          <w:p>
            <w:pPr>
              <w:jc w:val="center"/>
              <w:rPr>
                <w:rFonts w:hint="default" w:ascii="Times New Roman" w:hAnsi="Times New Roman" w:cs="Times New Roman"/>
                <w:color w:val="000000"/>
                <w:lang w:val="en-US" w:eastAsia="zh-CN"/>
              </w:rPr>
            </w:pPr>
          </w:p>
        </w:tc>
        <w:tc>
          <w:tcPr>
            <w:tcW w:w="2930" w:type="dxa"/>
            <w:tcBorders>
              <w:left w:val="single" w:color="auto" w:sz="4" w:space="0"/>
              <w:right w:val="single" w:color="auto" w:sz="4" w:space="0"/>
            </w:tcBorders>
            <w:noWrap/>
            <w:vAlign w:val="center"/>
          </w:tcPr>
          <w:p>
            <w:pPr>
              <w:jc w:val="left"/>
              <w:rPr>
                <w:rFonts w:hint="default" w:ascii="Times New Roman" w:hAnsi="Times New Roman" w:eastAsia="宋体" w:cs="Times New Roman"/>
                <w:color w:val="000000"/>
                <w:kern w:val="2"/>
                <w:sz w:val="21"/>
                <w:szCs w:val="24"/>
                <w:lang w:val="en-US" w:eastAsia="zh-CN" w:bidi="ar-SA"/>
              </w:rPr>
            </w:pPr>
            <w:r>
              <w:rPr>
                <w:rFonts w:hint="default" w:ascii="Times New Roman" w:hAnsi="Times New Roman" w:cs="Times New Roman"/>
                <w:color w:val="000000"/>
                <w:lang w:val="en-US" w:eastAsia="zh-CN"/>
              </w:rPr>
              <w:t>服务方案</w:t>
            </w:r>
          </w:p>
        </w:tc>
        <w:tc>
          <w:tcPr>
            <w:tcW w:w="3675" w:type="dxa"/>
            <w:tcBorders>
              <w:lef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服务方案内容包括但不限于：</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1、供货进度、响应时间；</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2、质量保障措施及承诺；</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3、服装设计方案；</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4、服装的供货、运输方案；</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5、售后服务方案。</w:t>
            </w:r>
          </w:p>
        </w:tc>
        <w:tc>
          <w:tcPr>
            <w:tcW w:w="2479" w:type="dxa"/>
            <w:tcBorders>
              <w:left w:val="single" w:color="auto" w:sz="4" w:space="0"/>
            </w:tcBorders>
            <w:noWrap/>
            <w:vAlign w:val="center"/>
          </w:tcPr>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（1）方案优于采购需求得5分；方案完全满足采购需求得3分；方案有任意项不满足采购需求得0分。</w:t>
            </w:r>
          </w:p>
          <w:p>
            <w:pPr>
              <w:jc w:val="left"/>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（2）方案描述较详尽合理，可行性高得</w:t>
            </w:r>
            <w:r>
              <w:rPr>
                <w:rFonts w:hint="eastAsia" w:ascii="Times New Roman" w:hAnsi="Times New Roman" w:cs="Times New Roman"/>
                <w:color w:val="000000"/>
                <w:lang w:val="en-US" w:eastAsia="zh-CN"/>
              </w:rPr>
              <w:t>5</w:t>
            </w:r>
            <w:r>
              <w:rPr>
                <w:rFonts w:hint="default" w:ascii="Times New Roman" w:hAnsi="Times New Roman" w:eastAsia="宋体" w:cs="Times New Roman"/>
                <w:color w:val="000000"/>
                <w:lang w:val="en-US" w:eastAsia="zh-CN"/>
              </w:rPr>
              <w:t>分；方案描述较合理，可行性一般的得</w:t>
            </w:r>
            <w:r>
              <w:rPr>
                <w:rFonts w:hint="eastAsia" w:ascii="Times New Roman" w:hAnsi="Times New Roman" w:cs="Times New Roman"/>
                <w:color w:val="000000"/>
                <w:lang w:val="en-US" w:eastAsia="zh-CN"/>
              </w:rPr>
              <w:t>3</w:t>
            </w:r>
            <w:r>
              <w:rPr>
                <w:rFonts w:hint="default" w:ascii="Times New Roman" w:hAnsi="Times New Roman" w:eastAsia="宋体" w:cs="Times New Roman"/>
                <w:color w:val="000000"/>
                <w:lang w:val="en-US" w:eastAsia="zh-CN"/>
              </w:rPr>
              <w:t>分；方案描述不够完善，欠缺合理性、可行性得1 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1378" w:hRule="atLeast"/>
        </w:trPr>
        <w:tc>
          <w:tcPr>
            <w:tcW w:w="10092" w:type="dxa"/>
            <w:gridSpan w:val="5"/>
            <w:noWrap/>
            <w:vAlign w:val="center"/>
          </w:tcPr>
          <w:p>
            <w:pPr>
              <w:numPr>
                <w:ilvl w:val="0"/>
                <w:numId w:val="0"/>
              </w:numPr>
              <w:jc w:val="left"/>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请申请人按照以下文件的要求格式、内容，顺序制作响应文件，并请编制目录及页码，否则可能将影响对响应文件的评价。</w:t>
            </w:r>
          </w:p>
        </w:tc>
      </w:tr>
    </w:tbl>
    <w:p>
      <w:pPr>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br w:type="page"/>
      </w:r>
      <w:r>
        <w:rPr>
          <w:rFonts w:hint="default" w:ascii="Times New Roman" w:hAnsi="Times New Roman" w:eastAsia="方正小标宋_GBK" w:cs="Times New Roman"/>
          <w:color w:val="000000"/>
          <w:kern w:val="0"/>
          <w:sz w:val="44"/>
          <w:szCs w:val="44"/>
        </w:rPr>
        <w:t>资格声明函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致</w:t>
      </w:r>
      <w:r>
        <w:rPr>
          <w:rFonts w:hint="default" w:ascii="Times New Roman" w:hAnsi="Times New Roman" w:eastAsia="仿宋_GB2312" w:cs="Times New Roman"/>
          <w:color w:val="000000"/>
          <w:sz w:val="32"/>
          <w:szCs w:val="32"/>
          <w:u w:val="single"/>
        </w:rPr>
        <w:t>广州市退役军人服务中心</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本单位已详细审查了</w:t>
      </w:r>
      <w:r>
        <w:rPr>
          <w:rFonts w:hint="default" w:ascii="Times New Roman" w:hAnsi="Times New Roman" w:eastAsia="仿宋_GB2312" w:cs="Times New Roman"/>
          <w:color w:val="000000"/>
          <w:sz w:val="32"/>
          <w:szCs w:val="32"/>
          <w:u w:val="single"/>
        </w:rPr>
        <w:t>广州市退役军人服务中心2022年工作服采购项目</w:t>
      </w:r>
      <w:r>
        <w:rPr>
          <w:rFonts w:hint="default" w:ascii="Times New Roman" w:hAnsi="Times New Roman" w:eastAsia="仿宋_GB2312" w:cs="Times New Roman"/>
          <w:color w:val="000000"/>
          <w:sz w:val="32"/>
          <w:szCs w:val="32"/>
        </w:rPr>
        <w:t>的比选公告，对本项目比选公告等相关文件无异议并作出如下声明：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w:t>
      </w:r>
      <w:r>
        <w:rPr>
          <w:rFonts w:hint="default" w:ascii="Times New Roman" w:hAnsi="Times New Roman" w:eastAsia="仿宋_GB2312" w:cs="Times New Roman"/>
          <w:color w:val="000000"/>
          <w:sz w:val="32"/>
          <w:szCs w:val="32"/>
          <w:lang w:val="en-US" w:eastAsia="zh-CN"/>
        </w:rPr>
        <w:t>比选</w:t>
      </w:r>
      <w:r>
        <w:rPr>
          <w:rFonts w:hint="default" w:ascii="Times New Roman" w:hAnsi="Times New Roman" w:eastAsia="仿宋_GB2312" w:cs="Times New Roman"/>
          <w:color w:val="000000"/>
          <w:sz w:val="32"/>
          <w:szCs w:val="32"/>
        </w:rPr>
        <w:t>文件的要求及有关文件规定，承诺在本次采购活动中，提交的</w:t>
      </w:r>
      <w:r>
        <w:rPr>
          <w:rFonts w:hint="default" w:ascii="Times New Roman" w:hAnsi="Times New Roman" w:eastAsia="仿宋_GB2312" w:cs="Times New Roman"/>
          <w:color w:val="000000"/>
          <w:sz w:val="32"/>
          <w:szCs w:val="32"/>
          <w:lang w:val="en-US" w:eastAsia="zh-CN"/>
        </w:rPr>
        <w:t>所有</w:t>
      </w:r>
      <w:r>
        <w:rPr>
          <w:rFonts w:hint="default" w:ascii="Times New Roman" w:hAnsi="Times New Roman" w:eastAsia="仿宋_GB2312" w:cs="Times New Roman"/>
          <w:color w:val="000000"/>
          <w:sz w:val="32"/>
          <w:szCs w:val="32"/>
        </w:rPr>
        <w:t>文件和说明是准确的和真实的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1920" w:firstLineChars="6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rPr>
        <w:t>全称（并加盖法人公章）：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法定代表人或其授权代表（签名或盖章）：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期</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color w:val="000000"/>
          <w:sz w:val="32"/>
          <w:szCs w:val="32"/>
        </w:rPr>
        <w:t>日</w:t>
      </w:r>
    </w:p>
    <w:p>
      <w:pPr>
        <w:jc w:val="center"/>
        <w:rPr>
          <w:rFonts w:hint="default" w:ascii="Times New Roman" w:hAnsi="Times New Roman" w:eastAsia="仿宋_GB2312" w:cs="Times New Roman"/>
          <w:b w:val="0"/>
          <w:sz w:val="44"/>
          <w:szCs w:val="44"/>
        </w:rPr>
      </w:pP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b w:val="0"/>
          <w:sz w:val="44"/>
          <w:szCs w:val="44"/>
        </w:rPr>
        <w:t>报价函</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lang w:val="en-US" w:eastAsia="zh-CN"/>
        </w:rPr>
        <w:t>广州市退役军人服务中心</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color w:val="000000"/>
          <w:sz w:val="32"/>
          <w:szCs w:val="32"/>
          <w:u w:val="single"/>
        </w:rPr>
        <w:t>广州市退役军人服务中心2022年工作服采购项目</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比选</w:t>
      </w:r>
      <w:r>
        <w:rPr>
          <w:rFonts w:hint="default" w:ascii="Times New Roman" w:hAnsi="Times New Roman" w:eastAsia="仿宋_GB2312" w:cs="Times New Roman"/>
          <w:sz w:val="32"/>
          <w:szCs w:val="32"/>
        </w:rPr>
        <w:t>公告，</w:t>
      </w:r>
      <w:r>
        <w:rPr>
          <w:rFonts w:hint="default" w:ascii="Times New Roman" w:hAnsi="Times New Roman" w:eastAsia="仿宋_GB2312" w:cs="Times New Roman"/>
          <w:color w:val="000000"/>
          <w:sz w:val="32"/>
          <w:szCs w:val="32"/>
        </w:rPr>
        <w:t>我公司（企业）</w:t>
      </w:r>
      <w:r>
        <w:rPr>
          <w:rFonts w:hint="default"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sz w:val="32"/>
          <w:szCs w:val="32"/>
          <w:u w:val="single"/>
          <w:lang w:eastAsia="zh-CN"/>
        </w:rPr>
        <w:t>（</w:t>
      </w:r>
      <w:r>
        <w:rPr>
          <w:rFonts w:hint="default" w:ascii="Times New Roman" w:hAnsi="Times New Roman" w:eastAsia="仿宋_GB2312" w:cs="Times New Roman"/>
          <w:sz w:val="32"/>
          <w:szCs w:val="32"/>
          <w:u w:val="single"/>
          <w:lang w:val="en-US" w:eastAsia="zh-CN"/>
        </w:rPr>
        <w:t xml:space="preserve">供应商名称）  </w:t>
      </w:r>
      <w:r>
        <w:rPr>
          <w:rFonts w:hint="default" w:ascii="Times New Roman" w:hAnsi="Times New Roman" w:eastAsia="仿宋_GB2312" w:cs="Times New Roman"/>
          <w:color w:val="000000"/>
          <w:sz w:val="32"/>
          <w:szCs w:val="32"/>
          <w:lang w:val="en-US" w:eastAsia="zh-CN"/>
        </w:rPr>
        <w:t>授权</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single"/>
          <w:lang w:val="en-US" w:eastAsia="zh-CN"/>
        </w:rPr>
        <w:t>姓名、职务</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u w:val="none"/>
          <w:lang w:val="en-US" w:eastAsia="zh-CN"/>
        </w:rPr>
        <w:t>代表</w:t>
      </w:r>
      <w:r>
        <w:rPr>
          <w:rFonts w:hint="default" w:ascii="Times New Roman" w:hAnsi="Times New Roman" w:eastAsia="仿宋_GB2312" w:cs="Times New Roman"/>
          <w:color w:val="000000"/>
          <w:sz w:val="32"/>
          <w:szCs w:val="32"/>
        </w:rPr>
        <w:t>我公司（企业）</w:t>
      </w:r>
      <w:r>
        <w:rPr>
          <w:rFonts w:hint="default" w:ascii="Times New Roman" w:hAnsi="Times New Roman" w:eastAsia="仿宋_GB2312" w:cs="Times New Roman"/>
          <w:color w:val="000000"/>
          <w:sz w:val="32"/>
          <w:szCs w:val="32"/>
          <w:lang w:val="en-US" w:eastAsia="zh-CN"/>
        </w:rPr>
        <w:t>参加</w:t>
      </w:r>
      <w:r>
        <w:rPr>
          <w:rFonts w:hint="default" w:ascii="Times New Roman" w:hAnsi="Times New Roman" w:eastAsia="仿宋_GB2312" w:cs="Times New Roman"/>
          <w:sz w:val="32"/>
          <w:szCs w:val="32"/>
          <w:lang w:val="en-US" w:eastAsia="zh-CN"/>
        </w:rPr>
        <w:t>本次采购活动并提交投标文件正本</w:t>
      </w:r>
      <w:r>
        <w:rPr>
          <w:rFonts w:hint="default"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lang w:val="en-US" w:eastAsia="zh-CN"/>
        </w:rPr>
        <w:t>份，副本</w:t>
      </w:r>
      <w:r>
        <w:rPr>
          <w:rFonts w:hint="default" w:ascii="Times New Roman" w:hAnsi="Times New Roman" w:eastAsia="仿宋_GB2312" w:cs="Times New Roman"/>
          <w:sz w:val="32"/>
          <w:szCs w:val="32"/>
          <w:u w:val="single"/>
          <w:lang w:val="en-US" w:eastAsia="zh-CN"/>
        </w:rPr>
        <w:t>5</w:t>
      </w:r>
      <w:r>
        <w:rPr>
          <w:rFonts w:hint="default" w:ascii="Times New Roman" w:hAnsi="Times New Roman" w:eastAsia="仿宋_GB2312" w:cs="Times New Roman"/>
          <w:sz w:val="32"/>
          <w:szCs w:val="32"/>
          <w:lang w:val="en-US" w:eastAsia="zh-CN"/>
        </w:rPr>
        <w:t>份，电子文档</w:t>
      </w:r>
      <w:r>
        <w:rPr>
          <w:rFonts w:hint="default" w:ascii="Times New Roman" w:hAnsi="Times New Roman" w:eastAsia="仿宋_GB2312" w:cs="Times New Roman"/>
          <w:sz w:val="32"/>
          <w:szCs w:val="32"/>
          <w:u w:val="single"/>
          <w:lang w:val="en-US" w:eastAsia="zh-CN"/>
        </w:rPr>
        <w:t>1</w:t>
      </w:r>
      <w:r>
        <w:rPr>
          <w:rFonts w:hint="default"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我</w:t>
      </w:r>
      <w:r>
        <w:rPr>
          <w:rFonts w:hint="default" w:ascii="Times New Roman" w:hAnsi="Times New Roman" w:eastAsia="仿宋_GB2312" w:cs="Times New Roman"/>
          <w:color w:val="000000"/>
          <w:sz w:val="32"/>
          <w:szCs w:val="32"/>
          <w:lang w:val="en-US" w:eastAsia="zh-CN"/>
        </w:rPr>
        <w:t>方</w:t>
      </w:r>
      <w:r>
        <w:rPr>
          <w:rFonts w:hint="default" w:ascii="Times New Roman" w:hAnsi="Times New Roman" w:eastAsia="仿宋_GB2312" w:cs="Times New Roman"/>
          <w:sz w:val="32"/>
          <w:szCs w:val="32"/>
        </w:rPr>
        <w:t>在此声明并同意：</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w:t>
      </w:r>
      <w:r>
        <w:rPr>
          <w:rFonts w:hint="default" w:ascii="Times New Roman" w:hAnsi="Times New Roman" w:eastAsia="仿宋_GB2312" w:cs="Times New Roman"/>
          <w:spacing w:val="-4"/>
          <w:sz w:val="32"/>
          <w:szCs w:val="32"/>
        </w:rPr>
        <w:t>已清楚</w:t>
      </w:r>
      <w:r>
        <w:rPr>
          <w:rFonts w:hint="default" w:ascii="Times New Roman" w:hAnsi="Times New Roman" w:eastAsia="仿宋_GB2312" w:cs="Times New Roman"/>
          <w:spacing w:val="-4"/>
          <w:sz w:val="32"/>
          <w:szCs w:val="32"/>
          <w:lang w:val="en-US" w:eastAsia="zh-CN"/>
        </w:rPr>
        <w:t>采购</w:t>
      </w:r>
      <w:r>
        <w:rPr>
          <w:rFonts w:hint="default" w:ascii="Times New Roman" w:hAnsi="Times New Roman" w:eastAsia="仿宋_GB2312" w:cs="Times New Roman"/>
          <w:sz w:val="32"/>
          <w:szCs w:val="32"/>
        </w:rPr>
        <w:t>文件的要求及有关文件规定，并严格按照</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文件的规定履行全部责任和义务。</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我方已按采购公告的要求提供报价，</w:t>
      </w:r>
      <w:r>
        <w:rPr>
          <w:rFonts w:hint="default" w:ascii="Times New Roman" w:hAnsi="Times New Roman" w:eastAsia="仿宋_GB2312" w:cs="Times New Roman"/>
          <w:sz w:val="32"/>
          <w:szCs w:val="32"/>
        </w:rPr>
        <w:t>同意本</w:t>
      </w:r>
      <w:r>
        <w:rPr>
          <w:rFonts w:hint="default" w:ascii="Times New Roman" w:hAnsi="Times New Roman" w:eastAsia="仿宋_GB2312" w:cs="Times New Roman"/>
          <w:sz w:val="32"/>
          <w:szCs w:val="32"/>
          <w:lang w:val="en-US" w:eastAsia="zh-CN"/>
        </w:rPr>
        <w:t>报价</w:t>
      </w:r>
      <w:r>
        <w:rPr>
          <w:rFonts w:hint="default" w:ascii="Times New Roman" w:hAnsi="Times New Roman" w:eastAsia="仿宋_GB2312" w:cs="Times New Roman"/>
          <w:sz w:val="32"/>
          <w:szCs w:val="32"/>
        </w:rPr>
        <w:t>自提交响应文件截止之日起</w:t>
      </w:r>
      <w:r>
        <w:rPr>
          <w:rFonts w:hint="default" w:ascii="Times New Roman" w:hAnsi="Times New Roman" w:eastAsia="仿宋_GB2312" w:cs="Times New Roman"/>
          <w:sz w:val="32"/>
          <w:szCs w:val="32"/>
          <w:u w:val="single"/>
          <w:lang w:val="en-US" w:eastAsia="zh-CN"/>
        </w:rPr>
        <w:t>90</w:t>
      </w:r>
      <w:r>
        <w:rPr>
          <w:rFonts w:hint="default" w:ascii="Times New Roman" w:hAnsi="Times New Roman" w:eastAsia="仿宋_GB2312" w:cs="Times New Roman"/>
          <w:spacing w:val="-3"/>
          <w:sz w:val="32"/>
          <w:szCs w:val="32"/>
          <w:u w:val="single"/>
          <w:lang w:val="en-US" w:eastAsia="zh-CN"/>
        </w:rPr>
        <w:t>天</w:t>
      </w:r>
      <w:r>
        <w:rPr>
          <w:rFonts w:hint="default" w:ascii="Times New Roman" w:hAnsi="Times New Roman" w:eastAsia="仿宋_GB2312" w:cs="Times New Roman"/>
          <w:spacing w:val="-3"/>
          <w:sz w:val="32"/>
          <w:szCs w:val="32"/>
        </w:rPr>
        <w:t>内有效，</w:t>
      </w:r>
      <w:r>
        <w:rPr>
          <w:rFonts w:hint="default" w:ascii="Times New Roman" w:hAnsi="Times New Roman" w:eastAsia="仿宋_GB2312" w:cs="Times New Roman"/>
          <w:spacing w:val="-3"/>
          <w:sz w:val="32"/>
          <w:szCs w:val="32"/>
          <w:lang w:val="en-US" w:eastAsia="zh-CN"/>
        </w:rPr>
        <w:t>成交供应商报价有效期延至标的质保期结束之日</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我方已</w:t>
      </w:r>
      <w:r>
        <w:rPr>
          <w:rFonts w:hint="default" w:ascii="Times New Roman" w:hAnsi="Times New Roman" w:eastAsia="仿宋_GB2312" w:cs="Times New Roman"/>
          <w:sz w:val="32"/>
          <w:szCs w:val="32"/>
        </w:rPr>
        <w:t>经详细地阅读并完全明白了全部</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文件及附件，包括澄清（如有）</w:t>
      </w:r>
      <w:r>
        <w:rPr>
          <w:rFonts w:hint="default" w:ascii="Times New Roman" w:hAnsi="Times New Roman" w:eastAsia="仿宋_GB2312" w:cs="Times New Roman"/>
          <w:spacing w:val="-5"/>
          <w:sz w:val="32"/>
          <w:szCs w:val="32"/>
        </w:rPr>
        <w:t>及参考文</w:t>
      </w:r>
      <w:r>
        <w:rPr>
          <w:rFonts w:hint="default" w:ascii="Times New Roman" w:hAnsi="Times New Roman" w:eastAsia="仿宋_GB2312" w:cs="Times New Roman"/>
          <w:spacing w:val="-1"/>
          <w:sz w:val="32"/>
          <w:szCs w:val="32"/>
        </w:rPr>
        <w:t>件，</w:t>
      </w:r>
      <w:r>
        <w:rPr>
          <w:rFonts w:hint="default" w:ascii="Times New Roman" w:hAnsi="Times New Roman" w:eastAsia="仿宋_GB2312" w:cs="Times New Roman"/>
          <w:spacing w:val="-1"/>
          <w:sz w:val="32"/>
          <w:szCs w:val="32"/>
          <w:lang w:val="en-US" w:eastAsia="zh-CN"/>
        </w:rPr>
        <w:t>已</w:t>
      </w:r>
      <w:r>
        <w:rPr>
          <w:rFonts w:hint="default" w:ascii="Times New Roman" w:hAnsi="Times New Roman" w:eastAsia="仿宋_GB2312" w:cs="Times New Roman"/>
          <w:spacing w:val="-1"/>
          <w:sz w:val="32"/>
          <w:szCs w:val="32"/>
        </w:rPr>
        <w:t>完全</w:t>
      </w:r>
      <w:r>
        <w:rPr>
          <w:rFonts w:hint="default" w:ascii="Times New Roman" w:hAnsi="Times New Roman" w:eastAsia="仿宋_GB2312" w:cs="Times New Roman"/>
          <w:spacing w:val="-1"/>
          <w:sz w:val="32"/>
          <w:szCs w:val="32"/>
          <w:lang w:val="en-US" w:eastAsia="zh-CN"/>
        </w:rPr>
        <w:t>清晰</w:t>
      </w:r>
      <w:r>
        <w:rPr>
          <w:rFonts w:hint="default" w:ascii="Times New Roman" w:hAnsi="Times New Roman" w:eastAsia="仿宋_GB2312" w:cs="Times New Roman"/>
          <w:spacing w:val="-1"/>
          <w:sz w:val="32"/>
          <w:szCs w:val="32"/>
        </w:rPr>
        <w:t>理解本</w:t>
      </w:r>
      <w:r>
        <w:rPr>
          <w:rFonts w:hint="default" w:ascii="Times New Roman" w:hAnsi="Times New Roman" w:eastAsia="仿宋_GB2312" w:cs="Times New Roman"/>
          <w:spacing w:val="-1"/>
          <w:sz w:val="32"/>
          <w:szCs w:val="32"/>
          <w:lang w:val="en-US" w:eastAsia="zh-CN"/>
        </w:rPr>
        <w:t>采购活动</w:t>
      </w:r>
      <w:r>
        <w:rPr>
          <w:rFonts w:hint="default" w:ascii="Times New Roman" w:hAnsi="Times New Roman" w:eastAsia="仿宋_GB2312" w:cs="Times New Roman"/>
          <w:spacing w:val="-1"/>
          <w:sz w:val="32"/>
          <w:szCs w:val="32"/>
        </w:rPr>
        <w:t>的要求，</w:t>
      </w:r>
      <w:r>
        <w:rPr>
          <w:rFonts w:hint="default" w:ascii="Times New Roman" w:hAnsi="Times New Roman" w:eastAsia="仿宋_GB2312" w:cs="Times New Roman"/>
          <w:spacing w:val="-1"/>
          <w:sz w:val="32"/>
          <w:szCs w:val="32"/>
          <w:lang w:val="en-US" w:eastAsia="zh-CN"/>
        </w:rPr>
        <w:t>不存在任何含糊不清和误解之处，</w:t>
      </w:r>
      <w:r>
        <w:rPr>
          <w:rFonts w:hint="default" w:ascii="Times New Roman" w:hAnsi="Times New Roman" w:eastAsia="仿宋_GB2312" w:cs="Times New Roman"/>
          <w:spacing w:val="-1"/>
          <w:sz w:val="32"/>
          <w:szCs w:val="32"/>
        </w:rPr>
        <w:t>同意放弃对</w:t>
      </w:r>
      <w:r>
        <w:rPr>
          <w:rFonts w:hint="default" w:ascii="Times New Roman" w:hAnsi="Times New Roman" w:eastAsia="仿宋_GB2312" w:cs="Times New Roman"/>
          <w:spacing w:val="-1"/>
          <w:sz w:val="32"/>
          <w:szCs w:val="32"/>
          <w:lang w:val="en-US" w:eastAsia="zh-CN"/>
        </w:rPr>
        <w:t>这些</w:t>
      </w:r>
      <w:r>
        <w:rPr>
          <w:rFonts w:hint="default" w:ascii="Times New Roman" w:hAnsi="Times New Roman" w:eastAsia="仿宋_GB2312" w:cs="Times New Roman"/>
          <w:spacing w:val="-1"/>
          <w:sz w:val="32"/>
          <w:szCs w:val="32"/>
        </w:rPr>
        <w:t>文件</w:t>
      </w:r>
      <w:r>
        <w:rPr>
          <w:rFonts w:hint="default" w:ascii="Times New Roman" w:hAnsi="Times New Roman" w:eastAsia="仿宋_GB2312" w:cs="Times New Roman"/>
          <w:spacing w:val="-1"/>
          <w:sz w:val="32"/>
          <w:szCs w:val="32"/>
          <w:lang w:val="en-US" w:eastAsia="zh-CN"/>
        </w:rPr>
        <w:t>所</w:t>
      </w:r>
      <w:r>
        <w:rPr>
          <w:rFonts w:hint="default" w:ascii="Times New Roman" w:hAnsi="Times New Roman" w:eastAsia="仿宋_GB2312" w:cs="Times New Roman"/>
          <w:spacing w:val="-1"/>
          <w:sz w:val="32"/>
          <w:szCs w:val="32"/>
        </w:rPr>
        <w:t>提出</w:t>
      </w:r>
      <w:r>
        <w:rPr>
          <w:rFonts w:hint="default" w:ascii="Times New Roman" w:hAnsi="Times New Roman" w:eastAsia="仿宋_GB2312" w:cs="Times New Roman"/>
          <w:spacing w:val="-1"/>
          <w:sz w:val="32"/>
          <w:szCs w:val="32"/>
          <w:lang w:val="en-US" w:eastAsia="zh-CN"/>
        </w:rPr>
        <w:t>的异议和质疑</w:t>
      </w:r>
      <w:r>
        <w:rPr>
          <w:rFonts w:hint="default" w:ascii="Times New Roman" w:hAnsi="Times New Roman" w:eastAsia="仿宋_GB2312" w:cs="Times New Roman"/>
          <w:spacing w:val="-1"/>
          <w:sz w:val="32"/>
          <w:szCs w:val="32"/>
        </w:rPr>
        <w:t>的</w:t>
      </w:r>
      <w:r>
        <w:rPr>
          <w:rFonts w:hint="default" w:ascii="Times New Roman" w:hAnsi="Times New Roman" w:eastAsia="仿宋_GB2312" w:cs="Times New Roman"/>
          <w:sz w:val="32"/>
          <w:szCs w:val="32"/>
        </w:rPr>
        <w:t>权</w:t>
      </w:r>
      <w:r>
        <w:rPr>
          <w:rFonts w:hint="default" w:ascii="Times New Roman" w:hAnsi="Times New Roman" w:eastAsia="仿宋_GB2312" w:cs="Times New Roman"/>
          <w:sz w:val="32"/>
          <w:szCs w:val="32"/>
          <w:lang w:val="en-US" w:eastAsia="zh-CN"/>
        </w:rPr>
        <w:t>利</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我方完全服从和尊重比选小组所作出的评定结果，同时清楚理解到报价最低并非意味着必定获得成交资格</w:t>
      </w:r>
      <w:r>
        <w:rPr>
          <w:rFonts w:hint="default" w:ascii="Times New Roman" w:hAnsi="Times New Roman" w:eastAsia="仿宋_GB2312" w:cs="Times New Roman"/>
          <w:sz w:val="32"/>
          <w:szCs w:val="32"/>
        </w:rPr>
        <w:t>。</w:t>
      </w:r>
    </w:p>
    <w:p>
      <w:pPr>
        <w:pStyle w:val="11"/>
        <w:keepNext w:val="0"/>
        <w:keepLines w:val="0"/>
        <w:pageBreakBefore w:val="0"/>
        <w:widowControl w:val="0"/>
        <w:numPr>
          <w:ilvl w:val="0"/>
          <w:numId w:val="1"/>
        </w:numPr>
        <w:kinsoku/>
        <w:wordWrap/>
        <w:overflowPunct/>
        <w:topLinePunct w:val="0"/>
        <w:autoSpaceDE w:val="0"/>
        <w:autoSpaceDN w:val="0"/>
        <w:bidi w:val="0"/>
        <w:adjustRightInd/>
        <w:snapToGrid/>
        <w:spacing w:after="157" w:afterLines="50" w:line="560" w:lineRule="exact"/>
        <w:ind w:left="0" w:leftChars="0" w:right="0" w:rightChars="0" w:firstLine="63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
          <w:sz w:val="32"/>
          <w:szCs w:val="32"/>
        </w:rPr>
        <w:t>我</w:t>
      </w:r>
      <w:r>
        <w:rPr>
          <w:rFonts w:hint="default" w:ascii="Times New Roman" w:hAnsi="Times New Roman" w:eastAsia="仿宋_GB2312" w:cs="Times New Roman"/>
          <w:spacing w:val="-1"/>
          <w:sz w:val="32"/>
          <w:szCs w:val="32"/>
          <w:lang w:val="en-US" w:eastAsia="zh-CN"/>
        </w:rPr>
        <w:t>方承诺在本次采购活动</w:t>
      </w:r>
      <w:r>
        <w:rPr>
          <w:rFonts w:hint="default" w:ascii="Times New Roman" w:hAnsi="Times New Roman" w:eastAsia="仿宋_GB2312" w:cs="Times New Roman"/>
          <w:spacing w:val="-1"/>
          <w:sz w:val="32"/>
          <w:szCs w:val="32"/>
        </w:rPr>
        <w:t>提交的一切文件，无论是原件还是复印件均为准确、真实、有效、完整的，绝无任何虚假、伪造或者夸大</w:t>
      </w:r>
      <w:r>
        <w:rPr>
          <w:rFonts w:hint="default" w:ascii="Times New Roman" w:hAnsi="Times New Roman" w:eastAsia="仿宋_GB2312" w:cs="Times New Roman"/>
          <w:spacing w:val="-1"/>
          <w:sz w:val="32"/>
          <w:szCs w:val="32"/>
          <w:lang w:val="en-US" w:eastAsia="zh-CN"/>
        </w:rPr>
        <w:t>的成分</w:t>
      </w: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
          <w:sz w:val="32"/>
          <w:szCs w:val="32"/>
          <w:lang w:val="en-US" w:eastAsia="zh-CN"/>
        </w:rPr>
        <w:t>否则，愿意承担相应的后果和法律责任</w:t>
      </w:r>
      <w:r>
        <w:rPr>
          <w:rFonts w:hint="default" w:ascii="Times New Roman" w:hAnsi="Times New Roman" w:eastAsia="仿宋_GB2312" w:cs="Times New Roman"/>
          <w:spacing w:val="-1"/>
          <w:sz w:val="32"/>
          <w:szCs w:val="32"/>
        </w:rPr>
        <w:t>。</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560" w:firstLineChars="8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供应商名称(公章)：</w:t>
      </w:r>
      <w:r>
        <w:rPr>
          <w:rFonts w:hint="default" w:ascii="Times New Roman" w:hAnsi="Times New Roman" w:eastAsia="仿宋_GB2312" w:cs="Times New Roman"/>
          <w:sz w:val="32"/>
          <w:szCs w:val="32"/>
          <w:u w:val="single"/>
          <w:lang w:val="en-US" w:eastAsia="zh-CN"/>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880" w:firstLineChars="900"/>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供应商代表签字：</w:t>
      </w:r>
      <w:r>
        <w:rPr>
          <w:rFonts w:hint="default" w:ascii="Times New Roman" w:hAnsi="Times New Roman" w:eastAsia="仿宋_GB2312" w:cs="Times New Roman"/>
          <w:sz w:val="32"/>
          <w:szCs w:val="32"/>
          <w:u w:val="single"/>
          <w:lang w:val="en-US" w:eastAsia="zh-CN"/>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lang w:val="en-US" w:eastAsia="zh-CN"/>
        </w:rPr>
        <w:t xml:space="preserve">                </w:t>
      </w:r>
    </w:p>
    <w:p>
      <w:pPr>
        <w:pStyle w:val="12"/>
        <w:ind w:firstLine="198"/>
        <w:rPr>
          <w:rFonts w:hint="default" w:ascii="Times New Roman" w:hAnsi="Times New Roman" w:cs="Times New Roman"/>
        </w:rPr>
      </w:pPr>
      <w:r>
        <w:rPr>
          <w:rFonts w:hint="default" w:ascii="Times New Roman" w:hAnsi="Times New Roman" w:cs="Times New Roman"/>
        </w:rPr>
        <w:br w:type="page"/>
      </w:r>
      <w:r>
        <w:rPr>
          <w:rFonts w:hint="default" w:ascii="Times New Roman" w:hAnsi="Times New Roman" w:cs="Times New Roman"/>
        </w:rPr>
        <w:t>比选报价书</w:t>
      </w:r>
    </w:p>
    <w:p>
      <w:pPr>
        <w:pStyle w:val="12"/>
        <w:ind w:firstLine="144"/>
        <w:rPr>
          <w:rFonts w:hint="default" w:ascii="Times New Roman" w:hAnsi="Times New Roman" w:eastAsia="仿宋_GB2312" w:cs="Times New Roman"/>
          <w:sz w:val="32"/>
          <w:szCs w:val="32"/>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970" w:type="dxa"/>
            <w:noWrap/>
            <w:vAlign w:val="center"/>
          </w:tcPr>
          <w:p>
            <w:pPr>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 目</w:t>
            </w:r>
          </w:p>
        </w:tc>
        <w:tc>
          <w:tcPr>
            <w:tcW w:w="2566" w:type="dxa"/>
            <w:noWrap/>
            <w:vAlign w:val="top"/>
          </w:tcPr>
          <w:p>
            <w:pPr>
              <w:spacing w:line="560" w:lineRule="exact"/>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每套报价（元）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jc w:val="center"/>
        </w:trPr>
        <w:tc>
          <w:tcPr>
            <w:tcW w:w="4970" w:type="dxa"/>
            <w:noWrap/>
            <w:vAlign w:val="center"/>
          </w:tcPr>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广州市退役军人服务中心</w:t>
            </w: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年工作服采购项目</w:t>
            </w:r>
          </w:p>
        </w:tc>
        <w:tc>
          <w:tcPr>
            <w:tcW w:w="2566" w:type="dxa"/>
            <w:noWrap/>
            <w:vAlign w:val="top"/>
          </w:tcPr>
          <w:p>
            <w:pPr>
              <w:spacing w:line="560" w:lineRule="exact"/>
              <w:jc w:val="center"/>
              <w:rPr>
                <w:rFonts w:hint="default" w:ascii="Times New Roman" w:hAnsi="Times New Roman" w:eastAsia="仿宋_GB2312" w:cs="Times New Roman"/>
                <w:sz w:val="32"/>
                <w:szCs w:val="32"/>
              </w:rPr>
            </w:pPr>
          </w:p>
        </w:tc>
      </w:tr>
    </w:tbl>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备注：</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1．每套报价不得高于3</w:t>
      </w:r>
      <w:r>
        <w:rPr>
          <w:rFonts w:hint="default" w:ascii="Times New Roman" w:hAnsi="Times New Roman" w:eastAsia="仿宋_GB2312" w:cs="Times New Roman"/>
          <w:sz w:val="32"/>
          <w:szCs w:val="32"/>
          <w:lang w:val="en-US" w:eastAsia="zh-CN"/>
        </w:rPr>
        <w:t>000</w:t>
      </w:r>
      <w:r>
        <w:rPr>
          <w:rFonts w:hint="default" w:ascii="Times New Roman" w:hAnsi="Times New Roman" w:eastAsia="仿宋_GB2312" w:cs="Times New Roman"/>
          <w:sz w:val="32"/>
          <w:szCs w:val="32"/>
        </w:rPr>
        <w:t>元。</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2．报价单位为元，报价货币单位为人民币。</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3．报价须包含所有税费，采购方支付此价格后，将不再支付其他任何费用。</w:t>
      </w:r>
    </w:p>
    <w:p>
      <w:pPr>
        <w:spacing w:line="560" w:lineRule="exact"/>
        <w:ind w:firstLine="640"/>
        <w:rPr>
          <w:rFonts w:hint="default" w:ascii="Times New Roman" w:hAnsi="Times New Roman" w:eastAsia="仿宋_GB2312" w:cs="Times New Roman"/>
          <w:sz w:val="32"/>
          <w:szCs w:val="32"/>
        </w:rPr>
      </w:pP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比选申请人（盖章）：</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仿宋_GB2312" w:cs="Times New Roman"/>
          <w:color w:val="000000"/>
          <w:sz w:val="44"/>
          <w:szCs w:val="44"/>
        </w:rPr>
        <w:br w:type="page"/>
      </w:r>
      <w:r>
        <w:rPr>
          <w:rFonts w:hint="default" w:ascii="Times New Roman" w:hAnsi="Times New Roman" w:eastAsia="方正小标宋_GBK" w:cs="Times New Roman"/>
          <w:color w:val="000000"/>
          <w:sz w:val="44"/>
          <w:szCs w:val="44"/>
        </w:rPr>
        <w:t>中小企业声明函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企业名称（盖章）：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日期：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0000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75" w:line="480" w:lineRule="exact"/>
        <w:ind w:left="403" w:right="1067"/>
        <w:jc w:val="center"/>
        <w:textAlignment w:val="auto"/>
        <w:rPr>
          <w:rFonts w:hint="default" w:ascii="Times New Roman" w:hAnsi="Times New Roman" w:eastAsia="方正小标宋_GBK" w:cs="Times New Roman"/>
          <w:color w:val="000000"/>
          <w:kern w:val="2"/>
          <w:sz w:val="44"/>
          <w:szCs w:val="44"/>
          <w:lang w:val="en-US" w:eastAsia="zh-CN" w:bidi="ar-SA"/>
        </w:rPr>
      </w:pPr>
      <w:r>
        <w:rPr>
          <w:rFonts w:hint="default" w:ascii="Times New Roman" w:hAnsi="Times New Roman" w:eastAsia="仿宋_GB2312" w:cs="Times New Roman"/>
          <w:i/>
          <w:iCs/>
          <w:color w:val="000000"/>
          <w:sz w:val="28"/>
          <w:szCs w:val="28"/>
        </w:rPr>
        <w:t>注：从业人员、营业收入、资产总额填报上一年度数据，无上一年度数据的新成立企业可不填报。</w:t>
      </w:r>
      <w:r>
        <w:rPr>
          <w:rFonts w:hint="default" w:ascii="Times New Roman" w:hAnsi="Times New Roman" w:eastAsia="仿宋_GB2312" w:cs="Times New Roman"/>
          <w:color w:val="000000"/>
          <w:sz w:val="32"/>
          <w:szCs w:val="32"/>
        </w:rPr>
        <w:br w:type="page"/>
      </w:r>
      <w:r>
        <w:rPr>
          <w:rFonts w:hint="default" w:ascii="Times New Roman" w:hAnsi="Times New Roman" w:eastAsia="方正小标宋_GBK" w:cs="Times New Roman"/>
          <w:color w:val="000000"/>
          <w:kern w:val="2"/>
          <w:sz w:val="44"/>
          <w:szCs w:val="44"/>
          <w:lang w:val="en-US" w:eastAsia="zh-CN" w:bidi="ar-SA"/>
        </w:rPr>
        <w:t>残疾人福利性单位声明函</w:t>
      </w:r>
    </w:p>
    <w:p>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w:t>
      </w:r>
      <w:r>
        <w:rPr>
          <w:rFonts w:hint="default" w:ascii="Times New Roman" w:hAnsi="Times New Roman" w:eastAsia="仿宋_GB2312" w:cs="Times New Roman"/>
          <w:spacing w:val="12"/>
          <w:sz w:val="32"/>
          <w:szCs w:val="32"/>
        </w:rPr>
        <w:t>声明</w:t>
      </w:r>
      <w:r>
        <w:rPr>
          <w:rFonts w:hint="default" w:ascii="Times New Roman" w:hAnsi="Times New Roman" w:eastAsia="仿宋_GB2312" w:cs="Times New Roman"/>
          <w:spacing w:val="-34"/>
          <w:sz w:val="32"/>
          <w:szCs w:val="32"/>
        </w:rPr>
        <w:t>，</w:t>
      </w:r>
      <w:r>
        <w:rPr>
          <w:rFonts w:hint="default" w:ascii="Times New Roman" w:hAnsi="Times New Roman" w:eastAsia="仿宋_GB2312" w:cs="Times New Roman"/>
          <w:spacing w:val="12"/>
          <w:sz w:val="32"/>
          <w:szCs w:val="32"/>
        </w:rPr>
        <w:t>根</w:t>
      </w:r>
      <w:r>
        <w:rPr>
          <w:rFonts w:hint="default" w:ascii="Times New Roman" w:hAnsi="Times New Roman" w:eastAsia="仿宋_GB2312" w:cs="Times New Roman"/>
          <w:spacing w:val="-34"/>
          <w:sz w:val="32"/>
          <w:szCs w:val="32"/>
        </w:rPr>
        <w:t>据</w:t>
      </w:r>
      <w:r>
        <w:rPr>
          <w:rFonts w:hint="default" w:ascii="Times New Roman" w:hAnsi="Times New Roman" w:eastAsia="仿宋_GB2312" w:cs="Times New Roman"/>
          <w:spacing w:val="12"/>
          <w:sz w:val="32"/>
          <w:szCs w:val="32"/>
        </w:rPr>
        <w:t>《财政</w:t>
      </w:r>
      <w:r>
        <w:rPr>
          <w:rFonts w:hint="default" w:ascii="Times New Roman" w:hAnsi="Times New Roman" w:eastAsia="仿宋_GB2312" w:cs="Times New Roman"/>
          <w:sz w:val="32"/>
          <w:szCs w:val="32"/>
        </w:rPr>
        <w:t>部</w:t>
      </w:r>
      <w:r>
        <w:rPr>
          <w:rFonts w:hint="default" w:ascii="Times New Roman" w:hAnsi="Times New Roman" w:eastAsia="仿宋_GB2312" w:cs="Times New Roman"/>
          <w:spacing w:val="34"/>
          <w:sz w:val="32"/>
          <w:szCs w:val="32"/>
        </w:rPr>
        <w:t xml:space="preserve"> </w:t>
      </w:r>
      <w:r>
        <w:rPr>
          <w:rFonts w:hint="default" w:ascii="Times New Roman" w:hAnsi="Times New Roman" w:eastAsia="仿宋_GB2312" w:cs="Times New Roman"/>
          <w:spacing w:val="12"/>
          <w:sz w:val="32"/>
          <w:szCs w:val="32"/>
        </w:rPr>
        <w:t>民政</w:t>
      </w:r>
      <w:r>
        <w:rPr>
          <w:rFonts w:hint="default" w:ascii="Times New Roman" w:hAnsi="Times New Roman" w:eastAsia="仿宋_GB2312" w:cs="Times New Roman"/>
          <w:sz w:val="32"/>
          <w:szCs w:val="32"/>
        </w:rPr>
        <w:t>部</w:t>
      </w:r>
      <w:r>
        <w:rPr>
          <w:rFonts w:hint="default" w:ascii="Times New Roman" w:hAnsi="Times New Roman" w:eastAsia="仿宋_GB2312" w:cs="Times New Roman"/>
          <w:spacing w:val="34"/>
          <w:sz w:val="32"/>
          <w:szCs w:val="32"/>
        </w:rPr>
        <w:t xml:space="preserve"> </w:t>
      </w:r>
      <w:r>
        <w:rPr>
          <w:rFonts w:hint="default" w:ascii="Times New Roman" w:hAnsi="Times New Roman" w:eastAsia="仿宋_GB2312" w:cs="Times New Roman"/>
          <w:spacing w:val="12"/>
          <w:sz w:val="32"/>
          <w:szCs w:val="32"/>
        </w:rPr>
        <w:t>中国残疾人联合会关于促进残疾人就业</w:t>
      </w:r>
      <w:r>
        <w:rPr>
          <w:rFonts w:hint="default" w:ascii="Times New Roman" w:hAnsi="Times New Roman" w:eastAsia="仿宋_GB2312" w:cs="Times New Roman"/>
          <w:spacing w:val="-5"/>
          <w:sz w:val="32"/>
          <w:szCs w:val="32"/>
        </w:rPr>
        <w:t>政</w:t>
      </w:r>
      <w:r>
        <w:rPr>
          <w:rFonts w:hint="default" w:ascii="Times New Roman" w:hAnsi="Times New Roman" w:eastAsia="仿宋_GB2312" w:cs="Times New Roman"/>
          <w:spacing w:val="12"/>
          <w:sz w:val="32"/>
          <w:szCs w:val="32"/>
        </w:rPr>
        <w:t>府采购政策的通知》（财库</w:t>
      </w:r>
      <w:r>
        <w:rPr>
          <w:rFonts w:hint="default" w:ascii="Times New Roman" w:hAnsi="Times New Roman" w:eastAsia="仿宋_GB2312" w:cs="Times New Roman"/>
          <w:spacing w:val="14"/>
          <w:sz w:val="32"/>
          <w:szCs w:val="32"/>
        </w:rPr>
        <w:t>〔</w:t>
      </w:r>
      <w:r>
        <w:rPr>
          <w:rFonts w:hint="default" w:ascii="Times New Roman" w:hAnsi="Times New Roman" w:eastAsia="仿宋_GB2312" w:cs="Times New Roman"/>
          <w:spacing w:val="4"/>
          <w:sz w:val="32"/>
          <w:szCs w:val="32"/>
        </w:rPr>
        <w:t>2017</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38"/>
          <w:sz w:val="32"/>
          <w:szCs w:val="32"/>
        </w:rPr>
        <w:t xml:space="preserve"> </w:t>
      </w:r>
      <w:r>
        <w:rPr>
          <w:rFonts w:hint="default" w:ascii="Times New Roman" w:hAnsi="Times New Roman" w:eastAsia="仿宋_GB2312" w:cs="Times New Roman"/>
          <w:spacing w:val="2"/>
          <w:sz w:val="32"/>
          <w:szCs w:val="32"/>
        </w:rPr>
        <w:t>141</w:t>
      </w:r>
      <w:r>
        <w:rPr>
          <w:rFonts w:hint="default" w:ascii="Times New Roman" w:hAnsi="Times New Roman" w:eastAsia="仿宋_GB2312" w:cs="Times New Roman"/>
          <w:spacing w:val="-32"/>
          <w:sz w:val="32"/>
          <w:szCs w:val="32"/>
        </w:rPr>
        <w:t xml:space="preserve"> </w:t>
      </w:r>
      <w:r>
        <w:rPr>
          <w:rFonts w:hint="default" w:ascii="Times New Roman" w:hAnsi="Times New Roman" w:eastAsia="仿宋_GB2312" w:cs="Times New Roman"/>
          <w:spacing w:val="12"/>
          <w:sz w:val="32"/>
          <w:szCs w:val="32"/>
        </w:rPr>
        <w:t>号）的规定，本单位为符合条件的残疾人福利性单位</w:t>
      </w:r>
      <w:r>
        <w:rPr>
          <w:rFonts w:hint="default" w:ascii="Times New Roman" w:hAnsi="Times New Roman" w:eastAsia="仿宋_GB2312" w:cs="Times New Roman"/>
          <w:spacing w:val="-70"/>
          <w:sz w:val="32"/>
          <w:szCs w:val="32"/>
        </w:rPr>
        <w:t>，</w:t>
      </w:r>
      <w:r>
        <w:rPr>
          <w:rFonts w:hint="default" w:ascii="Times New Roman" w:hAnsi="Times New Roman" w:eastAsia="仿宋_GB2312" w:cs="Times New Roman"/>
          <w:spacing w:val="12"/>
          <w:sz w:val="32"/>
          <w:szCs w:val="32"/>
        </w:rPr>
        <w:t>且本单位参</w:t>
      </w:r>
      <w:r>
        <w:rPr>
          <w:rFonts w:hint="default" w:ascii="Times New Roman" w:hAnsi="Times New Roman" w:eastAsia="仿宋_GB2312" w:cs="Times New Roman"/>
          <w:spacing w:val="14"/>
          <w:sz w:val="32"/>
          <w:szCs w:val="32"/>
        </w:rPr>
        <w:t>加</w:t>
      </w:r>
      <w:r>
        <w:rPr>
          <w:rFonts w:hint="default" w:ascii="Times New Roman" w:hAnsi="Times New Roman" w:eastAsia="仿宋_GB2312" w:cs="Times New Roman"/>
          <w:spacing w:val="14"/>
          <w:sz w:val="32"/>
          <w:szCs w:val="32"/>
          <w:u w:val="single"/>
          <w:lang w:val="en-US" w:eastAsia="zh-CN"/>
        </w:rPr>
        <w:t xml:space="preserve">           </w:t>
      </w:r>
      <w:r>
        <w:rPr>
          <w:rFonts w:hint="default" w:ascii="Times New Roman" w:hAnsi="Times New Roman" w:eastAsia="仿宋_GB2312" w:cs="Times New Roman"/>
          <w:spacing w:val="12"/>
          <w:sz w:val="32"/>
          <w:szCs w:val="32"/>
        </w:rPr>
        <w:t>单位的</w:t>
      </w:r>
      <w:r>
        <w:rPr>
          <w:rFonts w:hint="default" w:ascii="Times New Roman" w:hAnsi="Times New Roman" w:eastAsia="仿宋_GB2312" w:cs="Times New Roman"/>
          <w:spacing w:val="12"/>
          <w:sz w:val="32"/>
          <w:szCs w:val="32"/>
          <w:u w:val="single"/>
          <w:lang w:val="en-US" w:eastAsia="zh-CN"/>
        </w:rPr>
        <w:t xml:space="preserve">            </w:t>
      </w:r>
      <w:r>
        <w:rPr>
          <w:rFonts w:hint="default" w:ascii="Times New Roman" w:hAnsi="Times New Roman" w:eastAsia="仿宋_GB2312" w:cs="Times New Roman"/>
          <w:spacing w:val="12"/>
          <w:sz w:val="32"/>
          <w:szCs w:val="32"/>
        </w:rPr>
        <w:t>项目采购活动提供本单位制造的货</w:t>
      </w:r>
      <w:r>
        <w:rPr>
          <w:rFonts w:hint="default" w:ascii="Times New Roman" w:hAnsi="Times New Roman" w:eastAsia="仿宋_GB2312" w:cs="Times New Roman"/>
          <w:spacing w:val="-70"/>
          <w:sz w:val="32"/>
          <w:szCs w:val="32"/>
        </w:rPr>
        <w:t>物</w:t>
      </w:r>
      <w:r>
        <w:rPr>
          <w:rFonts w:hint="default" w:ascii="Times New Roman" w:hAnsi="Times New Roman" w:eastAsia="仿宋_GB2312" w:cs="Times New Roman"/>
          <w:spacing w:val="12"/>
          <w:sz w:val="32"/>
          <w:szCs w:val="32"/>
        </w:rPr>
        <w:t>（</w:t>
      </w:r>
      <w:r>
        <w:rPr>
          <w:rFonts w:hint="default" w:ascii="Times New Roman" w:hAnsi="Times New Roman" w:eastAsia="仿宋_GB2312" w:cs="Times New Roman"/>
          <w:spacing w:val="-5"/>
          <w:sz w:val="32"/>
          <w:szCs w:val="32"/>
        </w:rPr>
        <w:t>由</w:t>
      </w:r>
      <w:r>
        <w:rPr>
          <w:rFonts w:hint="default" w:ascii="Times New Roman" w:hAnsi="Times New Roman" w:eastAsia="仿宋_GB2312" w:cs="Times New Roman"/>
          <w:sz w:val="32"/>
          <w:szCs w:val="32"/>
        </w:rPr>
        <w:t>本单位承担工程/提供服务），或者提供其他残疾人福利性单位制造的货物（不包括使用非残疾人福利性单位注册商标的货物）。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本单位对上述声明的真实性负责。如有虚假，将依法承担相应责任。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88" w:firstLineChars="200"/>
        <w:jc w:val="left"/>
        <w:textAlignment w:val="auto"/>
        <w:rPr>
          <w:rFonts w:hint="default" w:ascii="Times New Roman" w:hAnsi="Times New Roman" w:eastAsia="仿宋_GB2312" w:cs="Times New Roman"/>
          <w:spacing w:val="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4128" w:firstLineChars="1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12"/>
          <w:sz w:val="32"/>
          <w:szCs w:val="32"/>
        </w:rPr>
        <w:t>单位名称（盖章）：</w:t>
      </w:r>
    </w:p>
    <w:p>
      <w:pPr>
        <w:pStyle w:val="3"/>
        <w:keepNext w:val="0"/>
        <w:keepLines w:val="0"/>
        <w:pageBreakBefore w:val="0"/>
        <w:widowControl w:val="0"/>
        <w:tabs>
          <w:tab w:val="left" w:pos="515"/>
        </w:tabs>
        <w:kinsoku/>
        <w:wordWrap/>
        <w:overflowPunct/>
        <w:topLinePunct w:val="0"/>
        <w:autoSpaceDE w:val="0"/>
        <w:autoSpaceDN w:val="0"/>
        <w:bidi w:val="0"/>
        <w:adjustRightInd/>
        <w:snapToGrid/>
        <w:spacing w:line="560" w:lineRule="exact"/>
        <w:ind w:left="0" w:right="0" w:firstLine="4160" w:firstLineChars="13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rPr>
        <w:tab/>
      </w:r>
      <w:r>
        <w:rPr>
          <w:rFonts w:hint="default" w:ascii="Times New Roman" w:hAnsi="Times New Roman" w:eastAsia="仿宋_GB2312" w:cs="Times New Roman"/>
          <w:spacing w:val="12"/>
          <w:sz w:val="32"/>
          <w:szCs w:val="32"/>
        </w:rPr>
        <w:t>期：</w:t>
      </w:r>
    </w:p>
    <w:p>
      <w:pPr>
        <w:jc w:val="center"/>
        <w:rPr>
          <w:rFonts w:hint="eastAsia" w:ascii="方正小标宋_GBK" w:hAnsi="方正小标宋_GBK" w:eastAsia="方正小标宋_GBK" w:cs="方正小标宋_GBK"/>
          <w:sz w:val="44"/>
          <w:szCs w:val="44"/>
        </w:rPr>
      </w:pPr>
      <w:r>
        <w:rPr>
          <w:rFonts w:hint="default" w:ascii="Times New Roman" w:hAnsi="Times New Roman" w:eastAsia="仿宋_GB2312" w:cs="Times New Roman"/>
          <w:color w:val="000000"/>
          <w:sz w:val="32"/>
          <w:szCs w:val="32"/>
        </w:rPr>
        <w:br w:type="page"/>
      </w:r>
      <w:r>
        <w:rPr>
          <w:rFonts w:hint="eastAsia" w:ascii="方正小标宋_GBK" w:hAnsi="方正小标宋_GBK" w:eastAsia="方正小标宋_GBK" w:cs="方正小标宋_GBK"/>
          <w:sz w:val="44"/>
          <w:szCs w:val="44"/>
          <w:lang w:val="en-US" w:eastAsia="zh-CN"/>
        </w:rPr>
        <w:t>采购响应</w:t>
      </w:r>
      <w:r>
        <w:rPr>
          <w:rFonts w:hint="eastAsia" w:ascii="方正小标宋_GBK" w:hAnsi="方正小标宋_GBK" w:eastAsia="方正小标宋_GBK" w:cs="方正小标宋_GBK"/>
          <w:sz w:val="44"/>
          <w:szCs w:val="44"/>
        </w:rPr>
        <w:t>一览表</w:t>
      </w:r>
    </w:p>
    <w:p>
      <w:pPr>
        <w:pStyle w:val="12"/>
        <w:ind w:firstLine="198"/>
        <w:rPr>
          <w:rFonts w:hint="default"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32"/>
        <w:gridCol w:w="1503"/>
        <w:gridCol w:w="2159"/>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14" w:type="dxa"/>
            <w:noWrap/>
            <w:vAlign w:val="center"/>
          </w:tcPr>
          <w:p>
            <w:pPr>
              <w:adjustRightInd w:val="0"/>
              <w:snapToGrid w:val="0"/>
              <w:jc w:val="center"/>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2432" w:type="dxa"/>
            <w:noWrap/>
            <w:vAlign w:val="center"/>
          </w:tcPr>
          <w:p>
            <w:pPr>
              <w:adjustRightInd w:val="0"/>
              <w:snapToGrid w:val="0"/>
              <w:jc w:val="center"/>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val="en-US" w:eastAsia="zh-CN"/>
              </w:rPr>
              <w:t>条款</w:t>
            </w:r>
          </w:p>
        </w:tc>
        <w:tc>
          <w:tcPr>
            <w:tcW w:w="1503" w:type="dxa"/>
            <w:noWrap/>
            <w:vAlign w:val="center"/>
          </w:tcPr>
          <w:p>
            <w:pPr>
              <w:adjustRightInd w:val="0"/>
              <w:snapToGrid w:val="0"/>
              <w:jc w:val="center"/>
              <w:rPr>
                <w:rFonts w:hint="default" w:ascii="Times New Roman" w:hAnsi="Times New Roman" w:cs="Times New Roman"/>
                <w:lang w:val="en-US" w:eastAsia="zh-CN"/>
              </w:rPr>
            </w:pPr>
            <w:r>
              <w:rPr>
                <w:rFonts w:hint="default" w:ascii="Times New Roman" w:hAnsi="Times New Roman" w:cs="Times New Roman"/>
                <w:sz w:val="28"/>
                <w:szCs w:val="36"/>
                <w:lang w:val="en-US" w:eastAsia="zh-CN"/>
              </w:rPr>
              <w:t>响应情况</w:t>
            </w:r>
          </w:p>
        </w:tc>
        <w:tc>
          <w:tcPr>
            <w:tcW w:w="2159" w:type="dxa"/>
            <w:noWrap/>
            <w:vAlign w:val="center"/>
          </w:tcPr>
          <w:p>
            <w:pPr>
              <w:adjustRightInd w:val="0"/>
              <w:snapToGrid w:val="0"/>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偏离说明</w:t>
            </w:r>
          </w:p>
        </w:tc>
        <w:tc>
          <w:tcPr>
            <w:tcW w:w="1375" w:type="dxa"/>
            <w:noWrap/>
            <w:vAlign w:val="center"/>
          </w:tcPr>
          <w:p>
            <w:pPr>
              <w:adjustRightInd w:val="0"/>
              <w:snapToGrid w:val="0"/>
              <w:jc w:val="center"/>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top"/>
          </w:tcPr>
          <w:p>
            <w:pPr>
              <w:adjustRightInd w:val="0"/>
              <w:snapToGrid w:val="0"/>
              <w:ind w:firstLine="632"/>
              <w:jc w:val="center"/>
              <w:rPr>
                <w:rFonts w:hint="default" w:ascii="Times New Roman" w:hAnsi="Times New Roman" w:cs="Times New Roman"/>
              </w:rPr>
            </w:pPr>
          </w:p>
        </w:tc>
        <w:tc>
          <w:tcPr>
            <w:tcW w:w="1375" w:type="dxa"/>
            <w:noWrap/>
            <w:vAlign w:val="center"/>
          </w:tcPr>
          <w:p>
            <w:pPr>
              <w:adjustRightInd w:val="0"/>
              <w:snapToGrid w:val="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2</w:t>
            </w:r>
          </w:p>
        </w:tc>
        <w:tc>
          <w:tcPr>
            <w:tcW w:w="2432" w:type="dxa"/>
            <w:noWrap/>
            <w:vAlign w:val="center"/>
          </w:tcPr>
          <w:p>
            <w:pPr>
              <w:adjustRightInd w:val="0"/>
              <w:snapToGrid w:val="0"/>
              <w:ind w:firstLine="632"/>
              <w:jc w:val="left"/>
              <w:rPr>
                <w:rFonts w:hint="default" w:ascii="Times New Roman" w:hAnsi="Times New Roman" w:cs="Times New Roman"/>
                <w:color w:val="000000"/>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3</w:t>
            </w:r>
          </w:p>
        </w:tc>
        <w:tc>
          <w:tcPr>
            <w:tcW w:w="2432" w:type="dxa"/>
            <w:noWrap/>
            <w:vAlign w:val="center"/>
          </w:tcPr>
          <w:p>
            <w:pPr>
              <w:adjustRightInd w:val="0"/>
              <w:snapToGrid w:val="0"/>
              <w:ind w:firstLine="632"/>
              <w:jc w:val="left"/>
              <w:rPr>
                <w:rFonts w:hint="default" w:ascii="Times New Roman" w:hAnsi="Times New Roman" w:cs="Times New Roman"/>
                <w:color w:val="000000"/>
              </w:rPr>
            </w:pPr>
          </w:p>
        </w:tc>
        <w:tc>
          <w:tcPr>
            <w:tcW w:w="1503" w:type="dxa"/>
            <w:noWrap/>
            <w:vAlign w:val="center"/>
          </w:tcPr>
          <w:p>
            <w:pPr>
              <w:adjustRightInd w:val="0"/>
              <w:snapToGrid w:val="0"/>
              <w:ind w:firstLine="632"/>
              <w:jc w:val="center"/>
              <w:rPr>
                <w:rFonts w:hint="default" w:ascii="Times New Roman" w:hAnsi="Times New Roman" w:cs="Times New Roman"/>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4</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472"/>
              <w:jc w:val="center"/>
              <w:rPr>
                <w:rFonts w:hint="default" w:ascii="Times New Roman" w:hAnsi="Times New Roman" w:cs="Times New Roman"/>
                <w:sz w:val="24"/>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4" w:type="dxa"/>
            <w:noWrap/>
            <w:vAlign w:val="center"/>
          </w:tcPr>
          <w:p>
            <w:pPr>
              <w:adjustRightInd w:val="0"/>
              <w:snapToGrid w:val="0"/>
              <w:ind w:firstLine="632"/>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w:t>
            </w:r>
          </w:p>
        </w:tc>
        <w:tc>
          <w:tcPr>
            <w:tcW w:w="2432" w:type="dxa"/>
            <w:noWrap/>
            <w:vAlign w:val="center"/>
          </w:tcPr>
          <w:p>
            <w:pPr>
              <w:adjustRightInd w:val="0"/>
              <w:snapToGrid w:val="0"/>
              <w:ind w:firstLine="632"/>
              <w:jc w:val="left"/>
              <w:rPr>
                <w:rFonts w:hint="default" w:ascii="Times New Roman" w:hAnsi="Times New Roman" w:cs="Times New Roman"/>
              </w:rPr>
            </w:pPr>
          </w:p>
        </w:tc>
        <w:tc>
          <w:tcPr>
            <w:tcW w:w="1503" w:type="dxa"/>
            <w:noWrap/>
            <w:vAlign w:val="center"/>
          </w:tcPr>
          <w:p>
            <w:pPr>
              <w:adjustRightInd w:val="0"/>
              <w:snapToGrid w:val="0"/>
              <w:ind w:firstLine="472"/>
              <w:jc w:val="center"/>
              <w:rPr>
                <w:rFonts w:hint="default" w:ascii="Times New Roman" w:hAnsi="Times New Roman" w:cs="Times New Roman"/>
                <w:sz w:val="24"/>
              </w:rPr>
            </w:pPr>
          </w:p>
        </w:tc>
        <w:tc>
          <w:tcPr>
            <w:tcW w:w="2159" w:type="dxa"/>
            <w:noWrap/>
            <w:vAlign w:val="center"/>
          </w:tcPr>
          <w:p>
            <w:pPr>
              <w:adjustRightInd w:val="0"/>
              <w:snapToGrid w:val="0"/>
              <w:ind w:firstLine="632"/>
              <w:jc w:val="center"/>
              <w:rPr>
                <w:rFonts w:hint="default" w:ascii="Times New Roman" w:hAnsi="Times New Roman" w:cs="Times New Roman"/>
                <w:color w:val="000000"/>
              </w:rPr>
            </w:pPr>
          </w:p>
        </w:tc>
        <w:tc>
          <w:tcPr>
            <w:tcW w:w="1375" w:type="dxa"/>
            <w:noWrap/>
            <w:vAlign w:val="center"/>
          </w:tcPr>
          <w:p>
            <w:pPr>
              <w:adjustRightInd w:val="0"/>
              <w:snapToGrid w:val="0"/>
              <w:jc w:val="both"/>
              <w:rPr>
                <w:rFonts w:hint="default" w:ascii="Times New Roman" w:hAnsi="Times New Roman" w:cs="Times New Roman"/>
              </w:rPr>
            </w:pPr>
            <w:r>
              <w:rPr>
                <w:rFonts w:hint="default" w:ascii="Times New Roman" w:hAnsi="Times New Roman" w:cs="Times New Roman"/>
                <w:lang w:val="en-US" w:eastAsia="zh-CN"/>
              </w:rPr>
              <w:t>见第</w:t>
            </w:r>
            <w:r>
              <w:rPr>
                <w:rFonts w:hint="default" w:ascii="Times New Roman" w:hAnsi="Times New Roman" w:cs="Times New Roman"/>
                <w:u w:val="single"/>
                <w:lang w:val="en-US" w:eastAsia="zh-CN"/>
              </w:rPr>
              <w:t xml:space="preserve">    </w:t>
            </w:r>
            <w:r>
              <w:rPr>
                <w:rFonts w:hint="default" w:ascii="Times New Roman" w:hAnsi="Times New Roman" w:cs="Times New Roman"/>
                <w:lang w:val="en-US" w:eastAsia="zh-CN"/>
              </w:rPr>
              <w:t>页</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tLeast"/>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w:t>
      </w:r>
      <w:r>
        <w:rPr>
          <w:rFonts w:hint="default" w:ascii="Times New Roman" w:hAnsi="Times New Roman" w:eastAsia="仿宋_GB2312" w:cs="Times New Roman"/>
          <w:color w:val="000000"/>
          <w:sz w:val="28"/>
          <w:szCs w:val="28"/>
          <w:lang w:val="en-US" w:eastAsia="zh-CN"/>
        </w:rPr>
        <w:t>1.响应情况包括：完全响应/正偏离/负偏离</w:t>
      </w:r>
      <w:r>
        <w:rPr>
          <w:rFonts w:hint="default" w:ascii="Times New Roman" w:hAnsi="Times New Roman" w:eastAsia="仿宋_GB2312" w:cs="Times New Roman"/>
          <w:color w:val="000000"/>
          <w:sz w:val="28"/>
          <w:szCs w:val="28"/>
        </w:rPr>
        <w:t>。</w:t>
      </w:r>
    </w:p>
    <w:p>
      <w:pPr>
        <w:pStyle w:val="5"/>
        <w:keepNext w:val="0"/>
        <w:keepLines w:val="0"/>
        <w:pageBreakBefore w:val="0"/>
        <w:widowControl w:val="0"/>
        <w:kinsoku/>
        <w:wordWrap/>
        <w:overflowPunct/>
        <w:topLinePunct w:val="0"/>
        <w:autoSpaceDE/>
        <w:autoSpaceDN/>
        <w:bidi w:val="0"/>
        <w:adjustRightInd/>
        <w:snapToGrid w:val="0"/>
        <w:spacing w:before="0" w:line="360" w:lineRule="atLeast"/>
        <w:textAlignment w:val="auto"/>
        <w:rPr>
          <w:rFonts w:hint="default" w:ascii="Times New Roman" w:hAnsi="Times New Roman" w:eastAsia="仿宋_GB2312" w:cs="Times New Roman"/>
          <w:b w:val="0"/>
          <w:bCs w:val="0"/>
          <w:color w:val="000000"/>
          <w:kern w:val="2"/>
          <w:sz w:val="28"/>
          <w:szCs w:val="28"/>
          <w:lang w:val="en-US" w:eastAsia="zh-CN" w:bidi="ar-SA"/>
        </w:rPr>
      </w:pPr>
      <w:r>
        <w:rPr>
          <w:rFonts w:hint="default" w:ascii="Times New Roman" w:hAnsi="Times New Roman" w:eastAsia="仿宋_GB2312" w:cs="Times New Roman"/>
          <w:b w:val="0"/>
          <w:bCs w:val="0"/>
          <w:color w:val="000000"/>
          <w:kern w:val="2"/>
          <w:sz w:val="28"/>
          <w:szCs w:val="28"/>
          <w:lang w:val="en-US" w:eastAsia="zh-CN" w:bidi="ar-SA"/>
        </w:rPr>
        <w:t xml:space="preserve">    2.需提供满足该条款的服务方案条款的查阅指引。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oto Sans CJK JP Black">
    <w:altName w:val="Segoe Print"/>
    <w:panose1 w:val="00000000000000000000"/>
    <w:charset w:val="00"/>
    <w:family w:val="swiss"/>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40C2"/>
    <w:multiLevelType w:val="singleLevel"/>
    <w:tmpl w:val="E7CC40C2"/>
    <w:lvl w:ilvl="0" w:tentative="0">
      <w:start w:val="1"/>
      <w:numFmt w:val="decimal"/>
      <w:suff w:val="nothing"/>
      <w:lvlText w:val="%1."/>
      <w:lvlJc w:val="left"/>
      <w:pPr>
        <w:ind w:left="0" w:firstLine="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801F1"/>
    <w:rsid w:val="0CA801F1"/>
    <w:rsid w:val="2620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toc 2"/>
    <w:basedOn w:val="1"/>
    <w:next w:val="1"/>
    <w:unhideWhenUsed/>
    <w:qFormat/>
    <w:uiPriority w:val="39"/>
    <w:pPr>
      <w:spacing w:before="240"/>
      <w:jc w:val="left"/>
    </w:pPr>
    <w:rPr>
      <w:b/>
      <w:bCs/>
      <w:sz w:val="20"/>
      <w:szCs w:val="20"/>
    </w:rPr>
  </w:style>
  <w:style w:type="paragraph" w:styleId="6">
    <w:name w:val="Normal (Web)"/>
    <w:basedOn w:val="1"/>
    <w:qFormat/>
    <w:uiPriority w:val="0"/>
    <w:pPr>
      <w:jc w:val="left"/>
    </w:pPr>
    <w:rPr>
      <w:rFonts w:ascii="Times New Roman" w:hAnsi="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1">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2">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2022-03-17T01:23:00Z</dcterms:created>
  <dc:creator>网站编辑</dc:creator>
  <cp:lastModifiedBy>网站编辑</cp:lastModifiedBy>
  <dcterms:modified xsi:type="dcterms:W3CDTF">2022-03-17T01:27:08Z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F259B2809BAD42A698B406F856B3BCDB</vt:lpwstr>
  </property>
</Properties>
</file>