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附件1</w:t>
      </w:r>
    </w:p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比选报价书</w:t>
      </w:r>
    </w:p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tbl>
      <w:tblPr>
        <w:tblStyle w:val="2"/>
        <w:tblW w:w="85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4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5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项 目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53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32"/>
                <w:szCs w:val="32"/>
              </w:rPr>
              <w:t>广州市退役军人事务局</w:t>
            </w:r>
            <w:r>
              <w:rPr>
                <w:rFonts w:hint="eastAsia" w:ascii="仿宋_GB2312" w:hAnsi="微软雅黑" w:eastAsia="仿宋_GB2312" w:cs="仿宋_GB2312"/>
                <w:kern w:val="0"/>
                <w:sz w:val="32"/>
                <w:szCs w:val="32"/>
                <w:lang w:eastAsia="zh-CN"/>
              </w:rPr>
              <w:t>慰问品采购</w:t>
            </w:r>
            <w:r>
              <w:rPr>
                <w:rFonts w:hint="eastAsia" w:ascii="仿宋_GB2312" w:hAnsi="微软雅黑" w:eastAsia="仿宋_GB2312" w:cs="仿宋_GB2312"/>
                <w:kern w:val="0"/>
                <w:sz w:val="32"/>
                <w:szCs w:val="32"/>
              </w:rPr>
              <w:t>比选项目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备注：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1．总额不得高于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eastAsia="仿宋_GB2312"/>
          <w:kern w:val="0"/>
          <w:sz w:val="32"/>
          <w:szCs w:val="32"/>
        </w:rPr>
        <w:t>万元。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2．报价单位为元，报价货币单位为人民币。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3．报价须包含所有税费，采购方支付此价格后，将不再支付其他任何费用。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比选申请人（法人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章）：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 年    月    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D013D"/>
    <w:rsid w:val="503D013D"/>
    <w:rsid w:val="770D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2020-03-04T07:23:00Z</dcterms:created>
  <dc:creator>陈颂</dc:creator>
  <cp:lastModifiedBy>未定义</cp:lastModifiedBy>
  <dcterms:modified xsi:type="dcterms:W3CDTF">2021-12-17T07:12:06Z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