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pStyle w:val="4"/>
        <w:ind w:firstLine="198"/>
        <w:rPr>
          <w:rFonts w:ascii="Times New Roman"/>
        </w:rPr>
      </w:pPr>
      <w:bookmarkStart w:id="0" w:name="_GoBack"/>
      <w:r>
        <w:rPr>
          <w:rFonts w:hint="default" w:ascii="Times New Roman"/>
        </w:rPr>
        <w:t>比选报价书</w:t>
      </w:r>
    </w:p>
    <w:bookmarkEnd w:id="0"/>
    <w:p>
      <w:pPr>
        <w:pStyle w:val="4"/>
        <w:ind w:firstLine="144"/>
        <w:rPr>
          <w:rFonts w:ascii="Times New Roman" w:eastAsia="仿宋_GB2312"/>
          <w:sz w:val="32"/>
          <w:szCs w:val="32"/>
        </w:rPr>
      </w:pPr>
    </w:p>
    <w:tbl>
      <w:tblPr>
        <w:tblStyle w:val="3"/>
        <w:tblW w:w="845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0"/>
        <w:gridCol w:w="2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项  目</w:t>
            </w:r>
          </w:p>
        </w:tc>
        <w:tc>
          <w:tcPr>
            <w:tcW w:w="281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4"/>
              </w:rPr>
              <w:t>项目报价（元）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56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“百年英烈”宣传纪念活动采购项目</w:t>
            </w:r>
          </w:p>
        </w:tc>
        <w:tc>
          <w:tcPr>
            <w:tcW w:w="281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备注：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1．项目总报价不得高于90万元,分别不得高于50万元、40万元。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2．报价单位为元，报价货币单位为人民币。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3．报价须包含所有税费，采购方支付此价格后，将不再支付其他任何费用。</w:t>
      </w:r>
    </w:p>
    <w:p>
      <w:pPr>
        <w:spacing w:line="560" w:lineRule="exact"/>
        <w:ind w:firstLine="3306" w:firstLineChars="1181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比选申请人（盖章）：</w:t>
      </w:r>
    </w:p>
    <w:p>
      <w:pPr>
        <w:spacing w:line="560" w:lineRule="exact"/>
        <w:ind w:firstLine="64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年    月    日</w:t>
      </w:r>
    </w:p>
    <w:p>
      <w:pPr>
        <w:adjustRightInd w:val="0"/>
        <w:snapToGrid w:val="0"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D16A7"/>
    <w:rsid w:val="0AA71C01"/>
    <w:rsid w:val="28FE7B1C"/>
    <w:rsid w:val="4FD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2021-04-06T02:16:00Z</dcterms:created>
  <dc:creator>网站编辑</dc:creator>
  <cp:lastModifiedBy>网站编辑</cp:lastModifiedBy>
  <dcterms:modified xsi:type="dcterms:W3CDTF">2021-04-06T02:19:38Z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