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sz w:val="32"/>
          <w:szCs w:val="32"/>
        </w:rPr>
      </w:pPr>
      <w:r>
        <w:rPr>
          <w:rFonts w:eastAsia="仿宋_GB2312"/>
          <w:kern w:val="0"/>
          <w:sz w:val="32"/>
          <w:szCs w:val="32"/>
        </w:rPr>
        <w:t>附件1</w:t>
      </w:r>
    </w:p>
    <w:tbl>
      <w:tblPr>
        <w:tblStyle w:val="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4820"/>
        <w:gridCol w:w="709"/>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22" w:type="dxa"/>
            <w:shd w:val="clear" w:color="auto" w:fill="auto"/>
            <w:noWrap w:val="0"/>
            <w:vAlign w:val="center"/>
          </w:tcPr>
          <w:p>
            <w:pPr>
              <w:jc w:val="center"/>
              <w:rPr>
                <w:rFonts w:ascii="黑体" w:hAnsi="黑体" w:eastAsia="黑体"/>
                <w:sz w:val="24"/>
              </w:rPr>
            </w:pPr>
            <w:r>
              <w:rPr>
                <w:rFonts w:hint="eastAsia" w:ascii="黑体" w:hAnsi="黑体" w:eastAsia="黑体"/>
                <w:sz w:val="24"/>
              </w:rPr>
              <w:t>货物名称</w:t>
            </w:r>
          </w:p>
        </w:tc>
        <w:tc>
          <w:tcPr>
            <w:tcW w:w="4820" w:type="dxa"/>
            <w:shd w:val="clear" w:color="auto" w:fill="auto"/>
            <w:noWrap w:val="0"/>
            <w:vAlign w:val="center"/>
          </w:tcPr>
          <w:p>
            <w:pPr>
              <w:jc w:val="center"/>
              <w:rPr>
                <w:rFonts w:ascii="黑体" w:hAnsi="黑体" w:eastAsia="黑体"/>
                <w:sz w:val="24"/>
              </w:rPr>
            </w:pPr>
            <w:r>
              <w:rPr>
                <w:rFonts w:hint="eastAsia" w:ascii="黑体" w:hAnsi="黑体" w:eastAsia="黑体"/>
                <w:sz w:val="24"/>
              </w:rPr>
              <w:t>规格明细</w:t>
            </w:r>
          </w:p>
        </w:tc>
        <w:tc>
          <w:tcPr>
            <w:tcW w:w="709" w:type="dxa"/>
            <w:shd w:val="clear" w:color="auto" w:fill="auto"/>
            <w:noWrap w:val="0"/>
            <w:vAlign w:val="center"/>
          </w:tcPr>
          <w:p>
            <w:pPr>
              <w:jc w:val="center"/>
              <w:rPr>
                <w:rFonts w:ascii="黑体" w:hAnsi="黑体" w:eastAsia="黑体"/>
                <w:sz w:val="24"/>
              </w:rPr>
            </w:pPr>
            <w:r>
              <w:rPr>
                <w:rFonts w:hint="eastAsia" w:ascii="黑体" w:hAnsi="黑体" w:eastAsia="黑体"/>
                <w:sz w:val="24"/>
              </w:rPr>
              <w:t>数量</w:t>
            </w:r>
          </w:p>
        </w:tc>
        <w:tc>
          <w:tcPr>
            <w:tcW w:w="662" w:type="dxa"/>
            <w:shd w:val="clear" w:color="auto" w:fill="auto"/>
            <w:noWrap w:val="0"/>
            <w:vAlign w:val="center"/>
          </w:tcPr>
          <w:p>
            <w:pPr>
              <w:jc w:val="center"/>
              <w:rPr>
                <w:rFonts w:ascii="黑体" w:hAnsi="黑体" w:eastAsia="黑体"/>
                <w:sz w:val="24"/>
              </w:rPr>
            </w:pPr>
            <w:r>
              <w:rPr>
                <w:rFonts w:hint="eastAsia" w:ascii="黑体" w:hAnsi="黑体" w:eastAsia="黑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22" w:type="dxa"/>
            <w:shd w:val="clear" w:color="auto" w:fill="auto"/>
            <w:noWrap w:val="0"/>
            <w:vAlign w:val="center"/>
          </w:tcPr>
          <w:p>
            <w:pPr>
              <w:jc w:val="center"/>
              <w:rPr>
                <w:rFonts w:ascii="宋体" w:hAnsi="宋体"/>
                <w:sz w:val="24"/>
              </w:rPr>
            </w:pPr>
            <w:r>
              <w:rPr>
                <w:rFonts w:hint="eastAsia" w:ascii="宋体" w:hAnsi="宋体"/>
                <w:sz w:val="24"/>
              </w:rPr>
              <w:t>库房环境管理系统配套设备</w:t>
            </w:r>
          </w:p>
        </w:tc>
        <w:tc>
          <w:tcPr>
            <w:tcW w:w="4820" w:type="dxa"/>
            <w:shd w:val="clear" w:color="auto" w:fill="auto"/>
            <w:noWrap w:val="0"/>
            <w:vAlign w:val="center"/>
          </w:tcPr>
          <w:p>
            <w:pPr>
              <w:jc w:val="center"/>
              <w:rPr>
                <w:rFonts w:ascii="宋体" w:hAnsi="宋体"/>
                <w:szCs w:val="21"/>
              </w:rPr>
            </w:pPr>
            <w:r>
              <w:rPr>
                <w:rFonts w:hint="eastAsia" w:ascii="宋体" w:hAnsi="宋体"/>
                <w:szCs w:val="21"/>
              </w:rPr>
              <w:t>包含声光报警器、短信报警模块、温湿度传感器、烟感探测器、智慧库房主机、红外探测器、空调和除湿机的远程智能控制、库房展示一体机、除湿机、空气净化器等设备</w:t>
            </w:r>
          </w:p>
        </w:tc>
        <w:tc>
          <w:tcPr>
            <w:tcW w:w="709" w:type="dxa"/>
            <w:shd w:val="clear" w:color="auto" w:fill="auto"/>
            <w:noWrap w:val="0"/>
            <w:vAlign w:val="center"/>
          </w:tcPr>
          <w:p>
            <w:pPr>
              <w:jc w:val="center"/>
              <w:rPr>
                <w:rFonts w:ascii="宋体" w:hAnsi="宋体"/>
                <w:sz w:val="24"/>
              </w:rPr>
            </w:pPr>
            <w:r>
              <w:rPr>
                <w:rFonts w:hint="eastAsia" w:ascii="宋体" w:hAnsi="宋体"/>
                <w:sz w:val="24"/>
              </w:rPr>
              <w:t>1</w:t>
            </w:r>
          </w:p>
        </w:tc>
        <w:tc>
          <w:tcPr>
            <w:tcW w:w="662" w:type="dxa"/>
            <w:shd w:val="clear" w:color="auto" w:fill="auto"/>
            <w:noWrap w:val="0"/>
            <w:vAlign w:val="center"/>
          </w:tcPr>
          <w:p>
            <w:pPr>
              <w:jc w:val="center"/>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22" w:type="dxa"/>
            <w:shd w:val="clear" w:color="auto" w:fill="auto"/>
            <w:noWrap w:val="0"/>
            <w:vAlign w:val="center"/>
          </w:tcPr>
          <w:p>
            <w:pPr>
              <w:jc w:val="center"/>
              <w:rPr>
                <w:rFonts w:ascii="宋体" w:hAnsi="宋体"/>
                <w:sz w:val="24"/>
              </w:rPr>
            </w:pPr>
            <w:r>
              <w:rPr>
                <w:rFonts w:hint="eastAsia" w:ascii="宋体" w:hAnsi="宋体"/>
                <w:sz w:val="24"/>
              </w:rPr>
              <w:t>库房门禁系统配套设备</w:t>
            </w:r>
          </w:p>
        </w:tc>
        <w:tc>
          <w:tcPr>
            <w:tcW w:w="4820" w:type="dxa"/>
            <w:shd w:val="clear" w:color="auto" w:fill="auto"/>
            <w:noWrap w:val="0"/>
            <w:vAlign w:val="center"/>
          </w:tcPr>
          <w:p>
            <w:pPr>
              <w:jc w:val="center"/>
              <w:rPr>
                <w:rFonts w:ascii="宋体" w:hAnsi="宋体"/>
                <w:szCs w:val="21"/>
              </w:rPr>
            </w:pPr>
            <w:r>
              <w:rPr>
                <w:rFonts w:hint="eastAsia" w:ascii="宋体" w:hAnsi="宋体"/>
                <w:szCs w:val="21"/>
              </w:rPr>
              <w:t>包含单门门禁控制器、指纹密码一体机、出门按钮、IC卡、单门磁力锁</w:t>
            </w:r>
          </w:p>
        </w:tc>
        <w:tc>
          <w:tcPr>
            <w:tcW w:w="709" w:type="dxa"/>
            <w:shd w:val="clear" w:color="auto" w:fill="auto"/>
            <w:noWrap w:val="0"/>
            <w:vAlign w:val="center"/>
          </w:tcPr>
          <w:p>
            <w:pPr>
              <w:jc w:val="center"/>
              <w:rPr>
                <w:rFonts w:ascii="宋体" w:hAnsi="宋体"/>
                <w:sz w:val="24"/>
              </w:rPr>
            </w:pPr>
            <w:r>
              <w:rPr>
                <w:rFonts w:hint="eastAsia" w:ascii="宋体" w:hAnsi="宋体"/>
                <w:sz w:val="24"/>
              </w:rPr>
              <w:t>1</w:t>
            </w:r>
          </w:p>
        </w:tc>
        <w:tc>
          <w:tcPr>
            <w:tcW w:w="662" w:type="dxa"/>
            <w:shd w:val="clear" w:color="auto" w:fill="auto"/>
            <w:noWrap w:val="0"/>
            <w:vAlign w:val="center"/>
          </w:tcPr>
          <w:p>
            <w:pPr>
              <w:jc w:val="center"/>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22" w:type="dxa"/>
            <w:shd w:val="clear" w:color="auto" w:fill="auto"/>
            <w:noWrap w:val="0"/>
            <w:vAlign w:val="center"/>
          </w:tcPr>
          <w:p>
            <w:pPr>
              <w:jc w:val="center"/>
              <w:rPr>
                <w:rFonts w:ascii="宋体" w:hAnsi="宋体"/>
                <w:sz w:val="24"/>
              </w:rPr>
            </w:pPr>
            <w:r>
              <w:rPr>
                <w:rFonts w:hint="eastAsia" w:ascii="宋体" w:hAnsi="宋体"/>
                <w:sz w:val="24"/>
              </w:rPr>
              <w:t>库房监控系统配套设备</w:t>
            </w:r>
          </w:p>
        </w:tc>
        <w:tc>
          <w:tcPr>
            <w:tcW w:w="4820" w:type="dxa"/>
            <w:shd w:val="clear" w:color="auto" w:fill="auto"/>
            <w:noWrap w:val="0"/>
            <w:vAlign w:val="center"/>
          </w:tcPr>
          <w:p>
            <w:pPr>
              <w:jc w:val="center"/>
              <w:rPr>
                <w:rFonts w:ascii="宋体" w:hAnsi="宋体"/>
                <w:szCs w:val="21"/>
              </w:rPr>
            </w:pPr>
            <w:r>
              <w:rPr>
                <w:rFonts w:hint="eastAsia" w:ascii="宋体" w:hAnsi="宋体"/>
                <w:szCs w:val="21"/>
              </w:rPr>
              <w:t>包含3台海康威视网络监控半球摄像机、网络硬盘录像机、硬盘、视频检测模块等</w:t>
            </w:r>
          </w:p>
        </w:tc>
        <w:tc>
          <w:tcPr>
            <w:tcW w:w="709" w:type="dxa"/>
            <w:shd w:val="clear" w:color="auto" w:fill="auto"/>
            <w:noWrap w:val="0"/>
            <w:vAlign w:val="center"/>
          </w:tcPr>
          <w:p>
            <w:pPr>
              <w:jc w:val="center"/>
              <w:rPr>
                <w:rFonts w:ascii="宋体" w:hAnsi="宋体"/>
                <w:sz w:val="24"/>
              </w:rPr>
            </w:pPr>
            <w:r>
              <w:rPr>
                <w:rFonts w:hint="eastAsia" w:ascii="宋体" w:hAnsi="宋体"/>
                <w:sz w:val="24"/>
              </w:rPr>
              <w:t>1</w:t>
            </w:r>
          </w:p>
        </w:tc>
        <w:tc>
          <w:tcPr>
            <w:tcW w:w="662" w:type="dxa"/>
            <w:shd w:val="clear" w:color="auto" w:fill="auto"/>
            <w:noWrap w:val="0"/>
            <w:vAlign w:val="center"/>
          </w:tcPr>
          <w:p>
            <w:pPr>
              <w:jc w:val="center"/>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422" w:type="dxa"/>
            <w:shd w:val="clear" w:color="auto" w:fill="auto"/>
            <w:noWrap w:val="0"/>
            <w:vAlign w:val="center"/>
          </w:tcPr>
          <w:p>
            <w:pPr>
              <w:jc w:val="center"/>
              <w:rPr>
                <w:rFonts w:ascii="宋体" w:hAnsi="宋体"/>
                <w:sz w:val="24"/>
              </w:rPr>
            </w:pPr>
            <w:r>
              <w:rPr>
                <w:rFonts w:hint="eastAsia" w:ascii="宋体" w:hAnsi="宋体"/>
                <w:sz w:val="24"/>
              </w:rPr>
              <w:t>库房气体消防系统配套设备</w:t>
            </w:r>
          </w:p>
        </w:tc>
        <w:tc>
          <w:tcPr>
            <w:tcW w:w="4820" w:type="dxa"/>
            <w:shd w:val="clear" w:color="auto" w:fill="auto"/>
            <w:noWrap w:val="0"/>
            <w:vAlign w:val="center"/>
          </w:tcPr>
          <w:p>
            <w:pPr>
              <w:jc w:val="center"/>
              <w:rPr>
                <w:rFonts w:ascii="宋体" w:hAnsi="宋体"/>
                <w:szCs w:val="21"/>
              </w:rPr>
            </w:pPr>
            <w:r>
              <w:rPr>
                <w:rFonts w:hint="eastAsia" w:ascii="宋体" w:hAnsi="宋体"/>
                <w:szCs w:val="21"/>
              </w:rPr>
              <w:t>柜式七氟丙烷包含柜式灭火装置、七氟丙烷药刘、灭火控制器、点型感温火灾探测器、点型光电感烟火灾探测器、火灾声光警报器、放气指示灯等</w:t>
            </w:r>
          </w:p>
        </w:tc>
        <w:tc>
          <w:tcPr>
            <w:tcW w:w="709" w:type="dxa"/>
            <w:shd w:val="clear" w:color="auto" w:fill="auto"/>
            <w:noWrap w:val="0"/>
            <w:vAlign w:val="center"/>
          </w:tcPr>
          <w:p>
            <w:pPr>
              <w:jc w:val="center"/>
              <w:rPr>
                <w:rFonts w:ascii="宋体" w:hAnsi="宋体"/>
                <w:sz w:val="24"/>
              </w:rPr>
            </w:pPr>
            <w:r>
              <w:rPr>
                <w:rFonts w:hint="eastAsia" w:ascii="宋体" w:hAnsi="宋体"/>
                <w:sz w:val="24"/>
              </w:rPr>
              <w:t>1</w:t>
            </w:r>
          </w:p>
        </w:tc>
        <w:tc>
          <w:tcPr>
            <w:tcW w:w="662" w:type="dxa"/>
            <w:shd w:val="clear" w:color="auto" w:fill="auto"/>
            <w:noWrap w:val="0"/>
            <w:vAlign w:val="center"/>
          </w:tcPr>
          <w:p>
            <w:pPr>
              <w:jc w:val="center"/>
              <w:rPr>
                <w:rFonts w:ascii="宋体" w:hAnsi="宋体"/>
                <w:sz w:val="24"/>
              </w:rPr>
            </w:pP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422" w:type="dxa"/>
            <w:shd w:val="clear" w:color="auto" w:fill="auto"/>
            <w:noWrap w:val="0"/>
            <w:vAlign w:val="center"/>
          </w:tcPr>
          <w:p>
            <w:pPr>
              <w:jc w:val="center"/>
              <w:rPr>
                <w:rFonts w:ascii="宋体" w:hAnsi="宋体"/>
                <w:sz w:val="24"/>
              </w:rPr>
            </w:pPr>
            <w:r>
              <w:rPr>
                <w:rFonts w:hint="eastAsia" w:ascii="宋体" w:hAnsi="宋体"/>
                <w:sz w:val="24"/>
              </w:rPr>
              <w:t>防磁柜</w:t>
            </w:r>
          </w:p>
        </w:tc>
        <w:tc>
          <w:tcPr>
            <w:tcW w:w="4820" w:type="dxa"/>
            <w:shd w:val="clear" w:color="auto" w:fill="auto"/>
            <w:noWrap w:val="0"/>
            <w:vAlign w:val="center"/>
          </w:tcPr>
          <w:p>
            <w:pPr>
              <w:jc w:val="center"/>
              <w:rPr>
                <w:rFonts w:ascii="宋体" w:hAnsi="宋体"/>
                <w:szCs w:val="21"/>
              </w:rPr>
            </w:pPr>
            <w:r>
              <w:rPr>
                <w:rFonts w:hint="eastAsia" w:ascii="宋体" w:hAnsi="宋体"/>
                <w:szCs w:val="21"/>
              </w:rPr>
              <w:t>宽570*深500*高1500</w:t>
            </w:r>
          </w:p>
        </w:tc>
        <w:tc>
          <w:tcPr>
            <w:tcW w:w="709" w:type="dxa"/>
            <w:shd w:val="clear" w:color="auto" w:fill="auto"/>
            <w:noWrap w:val="0"/>
            <w:vAlign w:val="center"/>
          </w:tcPr>
          <w:p>
            <w:pPr>
              <w:jc w:val="center"/>
              <w:rPr>
                <w:rFonts w:ascii="宋体" w:hAnsi="宋体"/>
                <w:b/>
                <w:sz w:val="24"/>
              </w:rPr>
            </w:pPr>
            <w:r>
              <w:rPr>
                <w:rFonts w:hint="eastAsia" w:ascii="宋体" w:hAnsi="宋体"/>
                <w:b/>
                <w:sz w:val="24"/>
              </w:rPr>
              <w:t>1</w:t>
            </w:r>
          </w:p>
        </w:tc>
        <w:tc>
          <w:tcPr>
            <w:tcW w:w="662" w:type="dxa"/>
            <w:shd w:val="clear" w:color="auto" w:fill="auto"/>
            <w:noWrap w:val="0"/>
            <w:vAlign w:val="center"/>
          </w:tcPr>
          <w:p>
            <w:pPr>
              <w:jc w:val="center"/>
              <w:rPr>
                <w:rFonts w:ascii="宋体" w:hAnsi="宋体"/>
                <w:sz w:val="24"/>
              </w:rPr>
            </w:pPr>
            <w:r>
              <w:rPr>
                <w:rFonts w:hint="eastAsia" w:ascii="宋体" w:hAnsi="宋体"/>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422" w:type="dxa"/>
            <w:shd w:val="clear" w:color="auto" w:fill="auto"/>
            <w:noWrap w:val="0"/>
            <w:vAlign w:val="center"/>
          </w:tcPr>
          <w:p>
            <w:pPr>
              <w:jc w:val="center"/>
              <w:rPr>
                <w:rFonts w:ascii="宋体" w:hAnsi="宋体"/>
                <w:sz w:val="24"/>
              </w:rPr>
            </w:pPr>
            <w:r>
              <w:rPr>
                <w:rFonts w:hint="eastAsia" w:ascii="宋体" w:hAnsi="宋体"/>
                <w:sz w:val="24"/>
              </w:rPr>
              <w:t>综合档案管理软件</w:t>
            </w:r>
          </w:p>
        </w:tc>
        <w:tc>
          <w:tcPr>
            <w:tcW w:w="4820" w:type="dxa"/>
            <w:shd w:val="clear" w:color="auto" w:fill="auto"/>
            <w:noWrap w:val="0"/>
            <w:vAlign w:val="center"/>
          </w:tcPr>
          <w:p>
            <w:pPr>
              <w:jc w:val="center"/>
              <w:rPr>
                <w:rFonts w:ascii="宋体" w:hAnsi="宋体"/>
                <w:szCs w:val="21"/>
              </w:rPr>
            </w:pPr>
            <w:r>
              <w:rPr>
                <w:rFonts w:hint="eastAsia" w:ascii="宋体" w:hAnsi="宋体"/>
                <w:szCs w:val="21"/>
              </w:rPr>
              <w:t>标准网络版</w:t>
            </w:r>
          </w:p>
          <w:p>
            <w:pPr>
              <w:jc w:val="center"/>
              <w:rPr>
                <w:rFonts w:ascii="宋体" w:hAnsi="宋体"/>
                <w:szCs w:val="21"/>
              </w:rPr>
            </w:pPr>
            <w:r>
              <w:rPr>
                <w:rFonts w:hint="eastAsia" w:ascii="宋体" w:hAnsi="宋体"/>
                <w:szCs w:val="21"/>
              </w:rPr>
              <w:t>（泰坦或其他品牌同类产品，详见备注）</w:t>
            </w:r>
          </w:p>
        </w:tc>
        <w:tc>
          <w:tcPr>
            <w:tcW w:w="709" w:type="dxa"/>
            <w:shd w:val="clear" w:color="auto" w:fill="auto"/>
            <w:noWrap w:val="0"/>
            <w:vAlign w:val="center"/>
          </w:tcPr>
          <w:p>
            <w:pPr>
              <w:jc w:val="center"/>
              <w:rPr>
                <w:rFonts w:ascii="宋体" w:hAnsi="宋体"/>
                <w:b/>
                <w:sz w:val="24"/>
              </w:rPr>
            </w:pPr>
            <w:r>
              <w:rPr>
                <w:rFonts w:hint="eastAsia" w:ascii="宋体" w:hAnsi="宋体"/>
                <w:b/>
                <w:sz w:val="24"/>
              </w:rPr>
              <w:t>1</w:t>
            </w:r>
          </w:p>
        </w:tc>
        <w:tc>
          <w:tcPr>
            <w:tcW w:w="662" w:type="dxa"/>
            <w:shd w:val="clear" w:color="auto" w:fill="auto"/>
            <w:noWrap w:val="0"/>
            <w:vAlign w:val="center"/>
          </w:tcPr>
          <w:p>
            <w:pPr>
              <w:jc w:val="center"/>
              <w:rPr>
                <w:rFonts w:ascii="宋体" w:hAnsi="宋体"/>
                <w:sz w:val="24"/>
              </w:rPr>
            </w:pPr>
            <w:r>
              <w:rPr>
                <w:rFonts w:hint="eastAsia" w:ascii="宋体" w:hAnsi="宋体"/>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422" w:type="dxa"/>
            <w:shd w:val="clear" w:color="auto" w:fill="auto"/>
            <w:noWrap w:val="0"/>
            <w:vAlign w:val="center"/>
          </w:tcPr>
          <w:p>
            <w:pPr>
              <w:jc w:val="center"/>
              <w:rPr>
                <w:rFonts w:ascii="宋体" w:hAnsi="宋体"/>
                <w:sz w:val="24"/>
              </w:rPr>
            </w:pPr>
            <w:r>
              <w:rPr>
                <w:rFonts w:hint="eastAsia" w:ascii="宋体" w:hAnsi="宋体"/>
                <w:sz w:val="24"/>
              </w:rPr>
              <w:t>档案盒</w:t>
            </w:r>
          </w:p>
        </w:tc>
        <w:tc>
          <w:tcPr>
            <w:tcW w:w="4820" w:type="dxa"/>
            <w:shd w:val="clear" w:color="auto" w:fill="auto"/>
            <w:noWrap w:val="0"/>
            <w:vAlign w:val="center"/>
          </w:tcPr>
          <w:p>
            <w:pPr>
              <w:jc w:val="center"/>
              <w:rPr>
                <w:rFonts w:ascii="宋体" w:hAnsi="宋体"/>
                <w:szCs w:val="21"/>
              </w:rPr>
            </w:pPr>
            <w:r>
              <w:rPr>
                <w:rFonts w:hint="eastAsia" w:ascii="宋体" w:hAnsi="宋体"/>
                <w:szCs w:val="21"/>
              </w:rPr>
              <w:t>标准文书档案盒</w:t>
            </w:r>
          </w:p>
          <w:p>
            <w:pPr>
              <w:jc w:val="center"/>
              <w:rPr>
                <w:rFonts w:ascii="宋体" w:hAnsi="宋体"/>
                <w:szCs w:val="21"/>
              </w:rPr>
            </w:pPr>
            <w:r>
              <w:rPr>
                <w:rFonts w:hint="eastAsia" w:ascii="宋体" w:hAnsi="宋体"/>
                <w:szCs w:val="21"/>
              </w:rPr>
              <w:t>750克无酸纸（广州市档案局标准）</w:t>
            </w:r>
          </w:p>
        </w:tc>
        <w:tc>
          <w:tcPr>
            <w:tcW w:w="709" w:type="dxa"/>
            <w:shd w:val="clear" w:color="auto" w:fill="auto"/>
            <w:noWrap w:val="0"/>
            <w:vAlign w:val="center"/>
          </w:tcPr>
          <w:p>
            <w:pPr>
              <w:jc w:val="center"/>
              <w:rPr>
                <w:rFonts w:ascii="宋体" w:hAnsi="宋体"/>
                <w:b/>
                <w:sz w:val="24"/>
              </w:rPr>
            </w:pPr>
            <w:r>
              <w:rPr>
                <w:rFonts w:hint="eastAsia" w:ascii="宋体" w:hAnsi="宋体"/>
                <w:b/>
                <w:sz w:val="24"/>
              </w:rPr>
              <w:t>2000</w:t>
            </w:r>
          </w:p>
        </w:tc>
        <w:tc>
          <w:tcPr>
            <w:tcW w:w="662" w:type="dxa"/>
            <w:shd w:val="clear" w:color="auto" w:fill="auto"/>
            <w:noWrap w:val="0"/>
            <w:vAlign w:val="center"/>
          </w:tcPr>
          <w:p>
            <w:pPr>
              <w:jc w:val="center"/>
              <w:rPr>
                <w:rFonts w:ascii="宋体" w:hAnsi="宋体"/>
                <w:sz w:val="24"/>
              </w:rPr>
            </w:pPr>
            <w:r>
              <w:rPr>
                <w:rFonts w:hint="eastAsia" w:ascii="宋体" w:hAnsi="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422" w:type="dxa"/>
            <w:shd w:val="clear" w:color="auto" w:fill="auto"/>
            <w:noWrap w:val="0"/>
            <w:vAlign w:val="center"/>
          </w:tcPr>
          <w:p>
            <w:pPr>
              <w:jc w:val="center"/>
              <w:rPr>
                <w:rFonts w:ascii="宋体" w:hAnsi="宋体"/>
                <w:sz w:val="24"/>
              </w:rPr>
            </w:pPr>
            <w:r>
              <w:rPr>
                <w:rFonts w:hint="eastAsia" w:ascii="宋体" w:hAnsi="宋体"/>
                <w:sz w:val="24"/>
              </w:rPr>
              <w:t>保密柜</w:t>
            </w:r>
          </w:p>
        </w:tc>
        <w:tc>
          <w:tcPr>
            <w:tcW w:w="4820" w:type="dxa"/>
            <w:shd w:val="clear" w:color="auto" w:fill="auto"/>
            <w:noWrap w:val="0"/>
            <w:vAlign w:val="center"/>
          </w:tcPr>
          <w:p>
            <w:pPr>
              <w:jc w:val="center"/>
              <w:rPr>
                <w:rFonts w:ascii="宋体" w:hAnsi="宋体"/>
                <w:szCs w:val="21"/>
              </w:rPr>
            </w:pPr>
            <w:r>
              <w:rPr>
                <w:rFonts w:hint="eastAsia" w:ascii="宋体" w:hAnsi="宋体"/>
                <w:szCs w:val="21"/>
              </w:rPr>
              <w:t>符合保密管理相关规定</w:t>
            </w:r>
          </w:p>
        </w:tc>
        <w:tc>
          <w:tcPr>
            <w:tcW w:w="709" w:type="dxa"/>
            <w:shd w:val="clear" w:color="auto" w:fill="auto"/>
            <w:noWrap w:val="0"/>
            <w:vAlign w:val="center"/>
          </w:tcPr>
          <w:p>
            <w:pPr>
              <w:jc w:val="center"/>
              <w:rPr>
                <w:rFonts w:ascii="宋体" w:hAnsi="宋体"/>
                <w:b/>
                <w:sz w:val="24"/>
              </w:rPr>
            </w:pPr>
            <w:r>
              <w:rPr>
                <w:rFonts w:hint="eastAsia" w:ascii="宋体" w:hAnsi="宋体"/>
                <w:b/>
                <w:sz w:val="24"/>
              </w:rPr>
              <w:t>2</w:t>
            </w:r>
          </w:p>
        </w:tc>
        <w:tc>
          <w:tcPr>
            <w:tcW w:w="662" w:type="dxa"/>
            <w:shd w:val="clear" w:color="auto" w:fill="auto"/>
            <w:noWrap w:val="0"/>
            <w:vAlign w:val="center"/>
          </w:tcPr>
          <w:p>
            <w:pPr>
              <w:ind w:firstLine="120" w:firstLineChars="50"/>
              <w:jc w:val="center"/>
              <w:rPr>
                <w:rFonts w:ascii="宋体" w:hAnsi="宋体"/>
                <w:sz w:val="24"/>
              </w:rPr>
            </w:pPr>
            <w:r>
              <w:rPr>
                <w:rFonts w:hint="eastAsia" w:ascii="宋体" w:hAnsi="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422" w:type="dxa"/>
            <w:shd w:val="clear" w:color="auto" w:fill="auto"/>
            <w:noWrap w:val="0"/>
            <w:vAlign w:val="center"/>
          </w:tcPr>
          <w:p>
            <w:pPr>
              <w:jc w:val="center"/>
              <w:rPr>
                <w:rFonts w:ascii="宋体" w:hAnsi="宋体"/>
                <w:sz w:val="24"/>
              </w:rPr>
            </w:pPr>
            <w:r>
              <w:rPr>
                <w:rFonts w:hint="eastAsia" w:ascii="宋体" w:hAnsi="宋体"/>
                <w:sz w:val="24"/>
              </w:rPr>
              <w:t>档案室用品用具、文具</w:t>
            </w:r>
          </w:p>
        </w:tc>
        <w:tc>
          <w:tcPr>
            <w:tcW w:w="4820" w:type="dxa"/>
            <w:shd w:val="clear" w:color="auto" w:fill="auto"/>
            <w:noWrap w:val="0"/>
            <w:vAlign w:val="center"/>
          </w:tcPr>
          <w:p>
            <w:pPr>
              <w:jc w:val="center"/>
              <w:rPr>
                <w:rFonts w:ascii="宋体" w:hAnsi="宋体"/>
                <w:szCs w:val="21"/>
              </w:rPr>
            </w:pPr>
            <w:r>
              <w:rPr>
                <w:rFonts w:hint="eastAsia" w:ascii="宋体" w:hAnsi="宋体"/>
                <w:szCs w:val="21"/>
              </w:rPr>
              <w:t>订书机1部、不锈钢钉20小盒、档案专用科目章1套、自动打码机1个、照片档案盒10本、光盘档案册10本、档案目录夹20本、装订棉线5袋、档案自动带线装订机1台、档案消毒柜1台（臭氧消毒）、白乳胶水5瓶、档案专用防霉驱虫药20盒</w:t>
            </w:r>
          </w:p>
        </w:tc>
        <w:tc>
          <w:tcPr>
            <w:tcW w:w="709" w:type="dxa"/>
            <w:shd w:val="clear" w:color="auto" w:fill="auto"/>
            <w:noWrap w:val="0"/>
            <w:vAlign w:val="center"/>
          </w:tcPr>
          <w:p>
            <w:pPr>
              <w:jc w:val="center"/>
              <w:rPr>
                <w:rFonts w:ascii="宋体" w:hAnsi="宋体"/>
                <w:b/>
                <w:sz w:val="24"/>
              </w:rPr>
            </w:pPr>
            <w:r>
              <w:rPr>
                <w:rFonts w:hint="eastAsia" w:ascii="宋体" w:hAnsi="宋体"/>
                <w:b/>
                <w:sz w:val="24"/>
              </w:rPr>
              <w:t>1</w:t>
            </w:r>
          </w:p>
        </w:tc>
        <w:tc>
          <w:tcPr>
            <w:tcW w:w="662" w:type="dxa"/>
            <w:shd w:val="clear" w:color="auto" w:fill="auto"/>
            <w:noWrap w:val="0"/>
            <w:vAlign w:val="center"/>
          </w:tcPr>
          <w:p>
            <w:pPr>
              <w:ind w:firstLine="120" w:firstLineChars="50"/>
              <w:jc w:val="center"/>
              <w:rPr>
                <w:rFonts w:ascii="宋体" w:hAnsi="宋体"/>
                <w:sz w:val="24"/>
              </w:rPr>
            </w:pPr>
            <w:r>
              <w:rPr>
                <w:rFonts w:hint="eastAsia" w:ascii="宋体" w:hAnsi="宋体"/>
                <w:sz w:val="24"/>
              </w:rPr>
              <w:t>项</w:t>
            </w:r>
          </w:p>
        </w:tc>
      </w:tr>
    </w:tbl>
    <w:p>
      <w:r>
        <w:rPr>
          <w:rFonts w:hint="eastAsia" w:eastAsia="仿宋_GB2312"/>
          <w:sz w:val="28"/>
          <w:szCs w:val="28"/>
        </w:rPr>
        <w:t>备注：综合档案管理软件应具备与广州市档案馆电子档案移交接收系统进行在线或离线数据交互的功能，便于电子档案数据直接移交（鉴于广州市档案馆电子档案移交接收系统由珠海泰坦软件系统有限公司承建，本项目中的综合档案管理软件应为泰坦软件或其他品牌同类产品，其他品牌同类产品需由广州市档案馆出具证明，证明该产品形成的电子档案数据可直接向广州市档案馆移交）。</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75A9F"/>
    <w:rsid w:val="54D75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2020-03-16T07:03:00Z</dcterms:created>
  <dc:creator>邓智斌</dc:creator>
  <cp:lastModifiedBy>邓智斌</cp:lastModifiedBy>
  <dcterms:modified xsi:type="dcterms:W3CDTF">2020-03-16T07:04:07Z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